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AD" w:rsidRDefault="00E60EAD" w:rsidP="00EB45E8">
      <w:pPr>
        <w:jc w:val="both"/>
        <w:rPr>
          <w:szCs w:val="24"/>
        </w:rPr>
      </w:pPr>
    </w:p>
    <w:p w:rsidR="00D37394" w:rsidRDefault="00D37394" w:rsidP="00EB45E8">
      <w:pPr>
        <w:spacing w:after="0" w:line="240" w:lineRule="auto"/>
        <w:jc w:val="both"/>
        <w:rPr>
          <w:rFonts w:ascii="Arial" w:hAnsi="Arial" w:cs="Arial"/>
          <w:b/>
          <w:sz w:val="24"/>
          <w:szCs w:val="24"/>
        </w:rPr>
      </w:pPr>
      <w:r>
        <w:rPr>
          <w:rFonts w:ascii="Arial" w:hAnsi="Arial" w:cs="Arial"/>
          <w:b/>
          <w:sz w:val="24"/>
          <w:szCs w:val="24"/>
        </w:rPr>
        <w:t>Market Recap</w:t>
      </w:r>
    </w:p>
    <w:p w:rsidR="00D37394" w:rsidRDefault="00D37394" w:rsidP="00EB45E8">
      <w:pPr>
        <w:spacing w:after="0" w:line="240" w:lineRule="auto"/>
        <w:jc w:val="both"/>
        <w:rPr>
          <w:rFonts w:ascii="Arial" w:hAnsi="Arial" w:cs="Arial"/>
          <w:b/>
          <w:sz w:val="24"/>
          <w:szCs w:val="24"/>
        </w:rPr>
      </w:pPr>
    </w:p>
    <w:p w:rsidR="0036716A" w:rsidRPr="000751CA" w:rsidRDefault="00482C59" w:rsidP="00EB45E8">
      <w:pPr>
        <w:spacing w:after="0" w:line="240" w:lineRule="auto"/>
        <w:jc w:val="both"/>
        <w:rPr>
          <w:rFonts w:ascii="Arial" w:hAnsi="Arial" w:cs="Arial"/>
          <w:b/>
          <w:sz w:val="24"/>
          <w:szCs w:val="24"/>
        </w:rPr>
      </w:pPr>
      <w:r>
        <w:rPr>
          <w:rFonts w:ascii="Arial" w:hAnsi="Arial" w:cs="Arial"/>
          <w:b/>
          <w:sz w:val="24"/>
          <w:szCs w:val="24"/>
        </w:rPr>
        <w:t xml:space="preserve">Domestic </w:t>
      </w:r>
    </w:p>
    <w:p w:rsidR="006E6564" w:rsidRDefault="008C0448" w:rsidP="00EB45E8">
      <w:pPr>
        <w:jc w:val="both"/>
        <w:rPr>
          <w:szCs w:val="24"/>
        </w:rPr>
      </w:pPr>
      <w:r>
        <w:rPr>
          <w:szCs w:val="24"/>
        </w:rPr>
        <w:t xml:space="preserve">The domestic oilseeds prices edged-up on bullish </w:t>
      </w:r>
      <w:r w:rsidR="002C6CAA">
        <w:rPr>
          <w:szCs w:val="24"/>
        </w:rPr>
        <w:t xml:space="preserve">domestic </w:t>
      </w:r>
      <w:r>
        <w:rPr>
          <w:szCs w:val="24"/>
        </w:rPr>
        <w:t xml:space="preserve">fundamentals </w:t>
      </w:r>
      <w:r w:rsidR="002C6CAA">
        <w:rPr>
          <w:szCs w:val="24"/>
        </w:rPr>
        <w:t xml:space="preserve">coupled with </w:t>
      </w:r>
      <w:r w:rsidR="00A947E9">
        <w:rPr>
          <w:szCs w:val="24"/>
        </w:rPr>
        <w:t>strong international veg</w:t>
      </w:r>
      <w:r w:rsidR="00C6014A">
        <w:rPr>
          <w:szCs w:val="24"/>
        </w:rPr>
        <w:t xml:space="preserve">etable </w:t>
      </w:r>
      <w:r w:rsidR="00A947E9">
        <w:rPr>
          <w:szCs w:val="24"/>
        </w:rPr>
        <w:t xml:space="preserve">oil and fats market </w:t>
      </w:r>
      <w:r>
        <w:rPr>
          <w:szCs w:val="24"/>
        </w:rPr>
        <w:t>during the week</w:t>
      </w:r>
      <w:r w:rsidR="00A947E9">
        <w:rPr>
          <w:szCs w:val="24"/>
        </w:rPr>
        <w:t>.</w:t>
      </w:r>
      <w:r w:rsidR="00CB45DB">
        <w:rPr>
          <w:szCs w:val="24"/>
        </w:rPr>
        <w:t>T</w:t>
      </w:r>
      <w:r w:rsidR="00854E1A">
        <w:rPr>
          <w:szCs w:val="24"/>
        </w:rPr>
        <w:t>he market seemed gain</w:t>
      </w:r>
      <w:r w:rsidR="002F1B14">
        <w:rPr>
          <w:szCs w:val="24"/>
        </w:rPr>
        <w:t xml:space="preserve">ing </w:t>
      </w:r>
      <w:r w:rsidR="00854E1A">
        <w:rPr>
          <w:szCs w:val="24"/>
        </w:rPr>
        <w:t xml:space="preserve">momentum </w:t>
      </w:r>
      <w:r w:rsidR="00260348">
        <w:rPr>
          <w:szCs w:val="24"/>
        </w:rPr>
        <w:t>since last couple of weeks</w:t>
      </w:r>
      <w:r w:rsidR="00593D6A">
        <w:rPr>
          <w:szCs w:val="24"/>
        </w:rPr>
        <w:t xml:space="preserve"> on good buying support in the oilseeds</w:t>
      </w:r>
      <w:r w:rsidR="00260348">
        <w:rPr>
          <w:szCs w:val="24"/>
        </w:rPr>
        <w:t>.</w:t>
      </w:r>
    </w:p>
    <w:p w:rsidR="00B97E6B" w:rsidRDefault="00CA611E" w:rsidP="00EB45E8">
      <w:pPr>
        <w:jc w:val="both"/>
        <w:rPr>
          <w:szCs w:val="24"/>
        </w:rPr>
      </w:pPr>
      <w:r>
        <w:rPr>
          <w:szCs w:val="24"/>
        </w:rPr>
        <w:t xml:space="preserve">Spurt in vegetable oil demand </w:t>
      </w:r>
      <w:r w:rsidR="007E20FB">
        <w:rPr>
          <w:szCs w:val="24"/>
        </w:rPr>
        <w:t xml:space="preserve">with the start in auspicious period for marriages and </w:t>
      </w:r>
      <w:r w:rsidR="009B6740">
        <w:rPr>
          <w:szCs w:val="24"/>
        </w:rPr>
        <w:t>fresh buying from domestic pickle industry remained positive factor for the local oilseeds market.</w:t>
      </w:r>
    </w:p>
    <w:p w:rsidR="00EE5505" w:rsidRDefault="00EE5505" w:rsidP="00EB45E8">
      <w:pPr>
        <w:jc w:val="both"/>
        <w:rPr>
          <w:szCs w:val="24"/>
        </w:rPr>
      </w:pPr>
      <w:r>
        <w:rPr>
          <w:szCs w:val="24"/>
        </w:rPr>
        <w:t xml:space="preserve">Besides, waning mustard seed supplies after peak arrivals which reached </w:t>
      </w:r>
      <w:r w:rsidR="00D25085">
        <w:rPr>
          <w:szCs w:val="24"/>
        </w:rPr>
        <w:t xml:space="preserve">5.0 lakh bags in Rajasthan in second week of April </w:t>
      </w:r>
      <w:r w:rsidR="00D9221A">
        <w:rPr>
          <w:szCs w:val="24"/>
        </w:rPr>
        <w:t>and fall in moisture content in the seed</w:t>
      </w:r>
      <w:r w:rsidR="00E72E47">
        <w:rPr>
          <w:szCs w:val="24"/>
        </w:rPr>
        <w:t>improved the buying by both stockists and millers</w:t>
      </w:r>
      <w:r w:rsidR="00D541FC">
        <w:rPr>
          <w:szCs w:val="24"/>
        </w:rPr>
        <w:t>.</w:t>
      </w:r>
      <w:r w:rsidR="009D7504">
        <w:rPr>
          <w:szCs w:val="24"/>
        </w:rPr>
        <w:t xml:space="preserve"> </w:t>
      </w:r>
      <w:r w:rsidR="00735815">
        <w:rPr>
          <w:szCs w:val="24"/>
        </w:rPr>
        <w:t>Prices tend to head-up with falling supplies while moisture</w:t>
      </w:r>
      <w:r w:rsidR="00104B25">
        <w:rPr>
          <w:szCs w:val="24"/>
        </w:rPr>
        <w:t xml:space="preserve"> content in the seed between 5-6 per cent is ideal for crushing.</w:t>
      </w:r>
    </w:p>
    <w:p w:rsidR="00374A11" w:rsidRDefault="003736B5" w:rsidP="00EB45E8">
      <w:pPr>
        <w:jc w:val="both"/>
        <w:rPr>
          <w:szCs w:val="24"/>
        </w:rPr>
      </w:pPr>
      <w:r>
        <w:rPr>
          <w:szCs w:val="24"/>
        </w:rPr>
        <w:t>In addition to the above factors, l</w:t>
      </w:r>
      <w:r w:rsidR="00342065">
        <w:rPr>
          <w:szCs w:val="24"/>
        </w:rPr>
        <w:t xml:space="preserve">ean season in local soybean </w:t>
      </w:r>
      <w:r w:rsidR="00B01CD1">
        <w:rPr>
          <w:szCs w:val="24"/>
        </w:rPr>
        <w:t>additionally pushed-up the soybean prices. However, sluggish exports in soy meal</w:t>
      </w:r>
      <w:r w:rsidR="009B17FA">
        <w:rPr>
          <w:szCs w:val="24"/>
        </w:rPr>
        <w:t xml:space="preserve"> limited the gains in the same.</w:t>
      </w:r>
      <w:r w:rsidR="00D03257">
        <w:rPr>
          <w:szCs w:val="24"/>
        </w:rPr>
        <w:t xml:space="preserve"> Any fall in the local seed prices is an opportunity for the buyers in near and medium-term.</w:t>
      </w:r>
    </w:p>
    <w:p w:rsidR="00482C59" w:rsidRDefault="00482C59" w:rsidP="00EB45E8">
      <w:pPr>
        <w:spacing w:after="0"/>
        <w:jc w:val="both"/>
        <w:rPr>
          <w:szCs w:val="24"/>
        </w:rPr>
      </w:pPr>
      <w:r w:rsidRPr="00482C59">
        <w:rPr>
          <w:rFonts w:ascii="Arial" w:hAnsi="Arial" w:cs="Arial"/>
          <w:b/>
          <w:sz w:val="24"/>
          <w:szCs w:val="24"/>
        </w:rPr>
        <w:t>International</w:t>
      </w:r>
    </w:p>
    <w:p w:rsidR="001F7BBA" w:rsidRDefault="00482C99" w:rsidP="00EB45E8">
      <w:pPr>
        <w:spacing w:after="0"/>
        <w:jc w:val="both"/>
        <w:rPr>
          <w:szCs w:val="24"/>
        </w:rPr>
      </w:pPr>
      <w:r>
        <w:rPr>
          <w:szCs w:val="24"/>
        </w:rPr>
        <w:t xml:space="preserve">At the international front Brazil is done with soybean harvesting </w:t>
      </w:r>
      <w:r w:rsidR="00477423">
        <w:rPr>
          <w:szCs w:val="24"/>
        </w:rPr>
        <w:t xml:space="preserve">while it is progressing in Argentina. </w:t>
      </w:r>
      <w:r w:rsidR="001E66D1">
        <w:rPr>
          <w:szCs w:val="24"/>
        </w:rPr>
        <w:t>In US the so</w:t>
      </w:r>
      <w:r w:rsidR="00350EB2">
        <w:rPr>
          <w:szCs w:val="24"/>
        </w:rPr>
        <w:t>ybean planting is underway with t</w:t>
      </w:r>
      <w:r w:rsidR="00350EB2" w:rsidRPr="00350EB2">
        <w:rPr>
          <w:szCs w:val="24"/>
        </w:rPr>
        <w:t xml:space="preserve">he overall </w:t>
      </w:r>
      <w:r w:rsidR="00116B04">
        <w:rPr>
          <w:szCs w:val="24"/>
        </w:rPr>
        <w:t xml:space="preserve">planting progress </w:t>
      </w:r>
      <w:r w:rsidR="00350EB2" w:rsidRPr="00350EB2">
        <w:rPr>
          <w:szCs w:val="24"/>
        </w:rPr>
        <w:t>at 22 per cent</w:t>
      </w:r>
      <w:r w:rsidR="007D5303">
        <w:rPr>
          <w:szCs w:val="24"/>
        </w:rPr>
        <w:t xml:space="preserve">, </w:t>
      </w:r>
      <w:r w:rsidR="00350EB2" w:rsidRPr="00350EB2">
        <w:rPr>
          <w:szCs w:val="24"/>
        </w:rPr>
        <w:t>well below the five-year average of 31%</w:t>
      </w:r>
      <w:r w:rsidR="00C26836">
        <w:rPr>
          <w:szCs w:val="24"/>
        </w:rPr>
        <w:t xml:space="preserve"> last week</w:t>
      </w:r>
      <w:r w:rsidR="00A24B37">
        <w:rPr>
          <w:szCs w:val="24"/>
        </w:rPr>
        <w:t>.</w:t>
      </w:r>
    </w:p>
    <w:p w:rsidR="0034179E" w:rsidRDefault="0034179E" w:rsidP="00EB45E8">
      <w:pPr>
        <w:spacing w:after="0"/>
        <w:jc w:val="both"/>
        <w:rPr>
          <w:szCs w:val="24"/>
        </w:rPr>
      </w:pPr>
    </w:p>
    <w:p w:rsidR="0034179E" w:rsidRDefault="0034179E" w:rsidP="00EB45E8">
      <w:pPr>
        <w:spacing w:after="0"/>
        <w:jc w:val="both"/>
        <w:rPr>
          <w:szCs w:val="24"/>
        </w:rPr>
      </w:pPr>
      <w:r w:rsidRPr="0034179E">
        <w:rPr>
          <w:szCs w:val="24"/>
        </w:rPr>
        <w:t xml:space="preserve">World soybean crushings are </w:t>
      </w:r>
      <w:r w:rsidR="008909F8">
        <w:rPr>
          <w:szCs w:val="24"/>
        </w:rPr>
        <w:t xml:space="preserve">expected to </w:t>
      </w:r>
      <w:r w:rsidRPr="0034179E">
        <w:rPr>
          <w:szCs w:val="24"/>
        </w:rPr>
        <w:t xml:space="preserve">increase by around 19 Mn T to 226.3 Mn T </w:t>
      </w:r>
      <w:r w:rsidR="004A712A">
        <w:rPr>
          <w:szCs w:val="24"/>
        </w:rPr>
        <w:t>during</w:t>
      </w:r>
      <w:r w:rsidR="00467A64">
        <w:rPr>
          <w:szCs w:val="24"/>
        </w:rPr>
        <w:t xml:space="preserve"> (September 2010 –August 2011)</w:t>
      </w:r>
      <w:r w:rsidRPr="0034179E">
        <w:rPr>
          <w:szCs w:val="24"/>
        </w:rPr>
        <w:t xml:space="preserve">. Most of </w:t>
      </w:r>
      <w:r w:rsidR="00FC0D82">
        <w:rPr>
          <w:szCs w:val="24"/>
        </w:rPr>
        <w:t>the crushing</w:t>
      </w:r>
      <w:r w:rsidR="00B54072">
        <w:rPr>
          <w:szCs w:val="24"/>
        </w:rPr>
        <w:t xml:space="preserve"> </w:t>
      </w:r>
      <w:r w:rsidR="00FC0D82">
        <w:rPr>
          <w:szCs w:val="24"/>
        </w:rPr>
        <w:t xml:space="preserve">was </w:t>
      </w:r>
      <w:r w:rsidRPr="0034179E">
        <w:rPr>
          <w:szCs w:val="24"/>
        </w:rPr>
        <w:t xml:space="preserve">already </w:t>
      </w:r>
      <w:r w:rsidR="00001DCC">
        <w:rPr>
          <w:szCs w:val="24"/>
        </w:rPr>
        <w:t xml:space="preserve">done </w:t>
      </w:r>
      <w:r w:rsidRPr="0034179E">
        <w:rPr>
          <w:szCs w:val="24"/>
        </w:rPr>
        <w:t>in the first half of the season owing to insufficient supplies o</w:t>
      </w:r>
      <w:r w:rsidR="00F56F72">
        <w:rPr>
          <w:szCs w:val="24"/>
        </w:rPr>
        <w:t>f other oilseeds and products.</w:t>
      </w:r>
    </w:p>
    <w:p w:rsidR="00607AC6" w:rsidRDefault="00607AC6" w:rsidP="00EB45E8">
      <w:pPr>
        <w:spacing w:after="0"/>
        <w:jc w:val="both"/>
        <w:rPr>
          <w:szCs w:val="24"/>
        </w:rPr>
      </w:pPr>
    </w:p>
    <w:p w:rsidR="00607AC6" w:rsidRDefault="00607AC6" w:rsidP="00EB45E8">
      <w:pPr>
        <w:spacing w:after="0"/>
        <w:jc w:val="both"/>
        <w:rPr>
          <w:szCs w:val="24"/>
        </w:rPr>
      </w:pPr>
      <w:r w:rsidRPr="001F11AF">
        <w:rPr>
          <w:szCs w:val="24"/>
        </w:rPr>
        <w:t xml:space="preserve">The temporary slowdown of import demand for soybeans in China and for </w:t>
      </w:r>
      <w:r w:rsidR="001A2908" w:rsidRPr="001F11AF">
        <w:rPr>
          <w:szCs w:val="24"/>
        </w:rPr>
        <w:t xml:space="preserve">edible </w:t>
      </w:r>
      <w:r w:rsidRPr="001F11AF">
        <w:rPr>
          <w:szCs w:val="24"/>
        </w:rPr>
        <w:t xml:space="preserve">oils in India recently </w:t>
      </w:r>
      <w:r w:rsidR="001A2908" w:rsidRPr="001F11AF">
        <w:rPr>
          <w:szCs w:val="24"/>
        </w:rPr>
        <w:t xml:space="preserve">is expected to weigh on the international edible oil </w:t>
      </w:r>
      <w:r w:rsidRPr="001F11AF">
        <w:rPr>
          <w:szCs w:val="24"/>
        </w:rPr>
        <w:t>prices.</w:t>
      </w:r>
      <w:r w:rsidR="00791345">
        <w:rPr>
          <w:szCs w:val="24"/>
        </w:rPr>
        <w:t xml:space="preserve"> </w:t>
      </w:r>
      <w:r w:rsidR="005A2F1F" w:rsidRPr="001F11AF">
        <w:rPr>
          <w:szCs w:val="24"/>
        </w:rPr>
        <w:t xml:space="preserve">A temporary </w:t>
      </w:r>
      <w:r w:rsidR="00083C72" w:rsidRPr="001F11AF">
        <w:rPr>
          <w:szCs w:val="24"/>
        </w:rPr>
        <w:t xml:space="preserve">decline in </w:t>
      </w:r>
      <w:r w:rsidR="005A2F1F" w:rsidRPr="001F11AF">
        <w:rPr>
          <w:szCs w:val="24"/>
        </w:rPr>
        <w:t xml:space="preserve">Chinese imports enforced a </w:t>
      </w:r>
      <w:r w:rsidR="00083C72" w:rsidRPr="001F11AF">
        <w:rPr>
          <w:szCs w:val="24"/>
        </w:rPr>
        <w:t xml:space="preserve">fall </w:t>
      </w:r>
      <w:r w:rsidR="005A2F1F" w:rsidRPr="001F11AF">
        <w:rPr>
          <w:szCs w:val="24"/>
        </w:rPr>
        <w:t>in world exports of soybeans by 1.9 Mn T from last year to 2</w:t>
      </w:r>
      <w:r w:rsidR="00083C72" w:rsidRPr="001F11AF">
        <w:rPr>
          <w:szCs w:val="24"/>
        </w:rPr>
        <w:t>8.4 Mn T in Jan</w:t>
      </w:r>
      <w:r w:rsidR="0044367F">
        <w:rPr>
          <w:szCs w:val="24"/>
        </w:rPr>
        <w:t xml:space="preserve"> </w:t>
      </w:r>
      <w:r w:rsidR="00467A64">
        <w:rPr>
          <w:szCs w:val="24"/>
        </w:rPr>
        <w:t xml:space="preserve">to </w:t>
      </w:r>
      <w:r w:rsidR="00083C72" w:rsidRPr="001F11AF">
        <w:rPr>
          <w:szCs w:val="24"/>
        </w:rPr>
        <w:t>April 2011.</w:t>
      </w:r>
    </w:p>
    <w:p w:rsidR="00A810DE" w:rsidRDefault="00A810DE" w:rsidP="00EB45E8">
      <w:pPr>
        <w:spacing w:after="0"/>
        <w:jc w:val="both"/>
        <w:rPr>
          <w:szCs w:val="24"/>
        </w:rPr>
      </w:pPr>
    </w:p>
    <w:p w:rsidR="00A810DE" w:rsidRDefault="001816A8" w:rsidP="00EB45E8">
      <w:pPr>
        <w:spacing w:after="0"/>
        <w:jc w:val="both"/>
        <w:rPr>
          <w:szCs w:val="24"/>
        </w:rPr>
      </w:pPr>
      <w:r>
        <w:rPr>
          <w:szCs w:val="24"/>
        </w:rPr>
        <w:t>Increased</w:t>
      </w:r>
      <w:r w:rsidR="00892C10">
        <w:rPr>
          <w:szCs w:val="24"/>
        </w:rPr>
        <w:t xml:space="preserve"> </w:t>
      </w:r>
      <w:r>
        <w:rPr>
          <w:szCs w:val="24"/>
        </w:rPr>
        <w:t xml:space="preserve">buying </w:t>
      </w:r>
      <w:r w:rsidR="00C17066" w:rsidRPr="00C17066">
        <w:rPr>
          <w:szCs w:val="24"/>
        </w:rPr>
        <w:t xml:space="preserve">from the European Union </w:t>
      </w:r>
      <w:r w:rsidR="00BA0F17">
        <w:rPr>
          <w:szCs w:val="24"/>
        </w:rPr>
        <w:t xml:space="preserve">has </w:t>
      </w:r>
      <w:r w:rsidR="00C17066" w:rsidRPr="00C17066">
        <w:rPr>
          <w:szCs w:val="24"/>
        </w:rPr>
        <w:t xml:space="preserve">contributed to a significant </w:t>
      </w:r>
      <w:r w:rsidR="0041501B">
        <w:rPr>
          <w:szCs w:val="24"/>
        </w:rPr>
        <w:t xml:space="preserve">rise </w:t>
      </w:r>
      <w:r w:rsidR="00C17066" w:rsidRPr="00C17066">
        <w:rPr>
          <w:szCs w:val="24"/>
        </w:rPr>
        <w:t>of 5.9 Mn T</w:t>
      </w:r>
      <w:r w:rsidR="00604612">
        <w:rPr>
          <w:szCs w:val="24"/>
        </w:rPr>
        <w:t xml:space="preserve"> or 18% in world exports of soy</w:t>
      </w:r>
      <w:r w:rsidR="00C17066" w:rsidRPr="00C17066">
        <w:rPr>
          <w:szCs w:val="24"/>
        </w:rPr>
        <w:t xml:space="preserve"> meal in</w:t>
      </w:r>
      <w:r w:rsidR="006D154D">
        <w:rPr>
          <w:szCs w:val="24"/>
        </w:rPr>
        <w:t xml:space="preserve"> September-April 2010-2011.</w:t>
      </w:r>
      <w:r w:rsidR="00C17066" w:rsidRPr="00C17066">
        <w:rPr>
          <w:szCs w:val="24"/>
        </w:rPr>
        <w:t xml:space="preserve"> </w:t>
      </w:r>
    </w:p>
    <w:p w:rsidR="00BF3410" w:rsidRDefault="00BF3410" w:rsidP="00EB45E8">
      <w:pPr>
        <w:spacing w:after="0"/>
        <w:jc w:val="both"/>
        <w:rPr>
          <w:szCs w:val="24"/>
        </w:rPr>
      </w:pPr>
    </w:p>
    <w:p w:rsidR="00BF3410" w:rsidRDefault="00BF3410" w:rsidP="00EB45E8">
      <w:pPr>
        <w:spacing w:after="0"/>
        <w:jc w:val="both"/>
        <w:rPr>
          <w:szCs w:val="24"/>
        </w:rPr>
      </w:pPr>
      <w:r>
        <w:rPr>
          <w:szCs w:val="24"/>
        </w:rPr>
        <w:t xml:space="preserve">Europe’s </w:t>
      </w:r>
      <w:r w:rsidRPr="00BF3410">
        <w:rPr>
          <w:szCs w:val="24"/>
        </w:rPr>
        <w:t xml:space="preserve">rapeseed </w:t>
      </w:r>
      <w:r w:rsidR="00D37937">
        <w:rPr>
          <w:szCs w:val="24"/>
        </w:rPr>
        <w:t xml:space="preserve">output is likely to </w:t>
      </w:r>
      <w:r w:rsidRPr="00BF3410">
        <w:rPr>
          <w:szCs w:val="24"/>
        </w:rPr>
        <w:t xml:space="preserve">plunge to a 3 year low of 19.5 Mn T this </w:t>
      </w:r>
      <w:r w:rsidR="007A740A">
        <w:rPr>
          <w:szCs w:val="24"/>
        </w:rPr>
        <w:t>season</w:t>
      </w:r>
      <w:r w:rsidRPr="00BF3410">
        <w:rPr>
          <w:szCs w:val="24"/>
        </w:rPr>
        <w:t>, compared with 20.6 Mn T in 2010. Considering the small carry-over stocks, EU rapeseed supplies in 2011/12 will be tight, raising import require</w:t>
      </w:r>
      <w:r>
        <w:rPr>
          <w:szCs w:val="24"/>
        </w:rPr>
        <w:t>ments.</w:t>
      </w:r>
      <w:r w:rsidR="00A162BE">
        <w:rPr>
          <w:szCs w:val="24"/>
        </w:rPr>
        <w:t xml:space="preserve"> Reports of </w:t>
      </w:r>
      <w:r w:rsidR="00A162BE" w:rsidRPr="00A162BE">
        <w:rPr>
          <w:szCs w:val="24"/>
        </w:rPr>
        <w:t>larger than expected damage</w:t>
      </w:r>
      <w:r w:rsidR="00A162BE">
        <w:rPr>
          <w:szCs w:val="24"/>
        </w:rPr>
        <w:t xml:space="preserve">, </w:t>
      </w:r>
      <w:r w:rsidR="00A162BE" w:rsidRPr="00A162BE">
        <w:rPr>
          <w:szCs w:val="24"/>
        </w:rPr>
        <w:t>from frost and dryness</w:t>
      </w:r>
      <w:r w:rsidR="00A162BE">
        <w:rPr>
          <w:szCs w:val="24"/>
        </w:rPr>
        <w:t>,</w:t>
      </w:r>
      <w:r w:rsidR="00A162BE" w:rsidRPr="00A162BE">
        <w:rPr>
          <w:szCs w:val="24"/>
        </w:rPr>
        <w:t xml:space="preserve"> as well as about poor crop conditions </w:t>
      </w:r>
      <w:r w:rsidR="00A035DC">
        <w:rPr>
          <w:szCs w:val="24"/>
        </w:rPr>
        <w:t xml:space="preserve">attributed to the reduction in the </w:t>
      </w:r>
      <w:r w:rsidR="00EF51FF">
        <w:rPr>
          <w:szCs w:val="24"/>
        </w:rPr>
        <w:t xml:space="preserve">yield </w:t>
      </w:r>
      <w:r w:rsidR="00A035DC">
        <w:rPr>
          <w:szCs w:val="24"/>
        </w:rPr>
        <w:t>output.</w:t>
      </w:r>
    </w:p>
    <w:p w:rsidR="00D25085" w:rsidRDefault="00D25085" w:rsidP="00EB45E8">
      <w:pPr>
        <w:jc w:val="both"/>
        <w:rPr>
          <w:szCs w:val="24"/>
        </w:rPr>
      </w:pPr>
    </w:p>
    <w:p w:rsidR="003F3766" w:rsidRDefault="003F3766" w:rsidP="00EB45E8">
      <w:pPr>
        <w:jc w:val="both"/>
        <w:rPr>
          <w:rFonts w:ascii="Arial" w:hAnsi="Arial" w:cs="Arial"/>
          <w:b/>
          <w:sz w:val="24"/>
          <w:szCs w:val="24"/>
        </w:rPr>
      </w:pPr>
      <w:r>
        <w:rPr>
          <w:rFonts w:ascii="Arial" w:hAnsi="Arial" w:cs="Arial"/>
          <w:b/>
          <w:sz w:val="24"/>
          <w:szCs w:val="24"/>
        </w:rPr>
        <w:br w:type="page"/>
      </w:r>
    </w:p>
    <w:p w:rsidR="000851A6" w:rsidRPr="009E0A74" w:rsidRDefault="000851A6" w:rsidP="00EB45E8">
      <w:pPr>
        <w:spacing w:after="120" w:line="240" w:lineRule="auto"/>
        <w:jc w:val="both"/>
        <w:rPr>
          <w:rFonts w:ascii="Arial" w:hAnsi="Arial" w:cs="Arial"/>
          <w:b/>
          <w:sz w:val="24"/>
          <w:szCs w:val="24"/>
        </w:rPr>
      </w:pPr>
      <w:r w:rsidRPr="009E0A74">
        <w:rPr>
          <w:rFonts w:ascii="Arial" w:hAnsi="Arial" w:cs="Arial"/>
          <w:b/>
          <w:sz w:val="24"/>
          <w:szCs w:val="24"/>
        </w:rPr>
        <w:lastRenderedPageBreak/>
        <w:t>Oil</w:t>
      </w:r>
      <w:r>
        <w:rPr>
          <w:rFonts w:ascii="Arial" w:hAnsi="Arial" w:cs="Arial"/>
          <w:b/>
          <w:sz w:val="24"/>
          <w:szCs w:val="24"/>
        </w:rPr>
        <w:t xml:space="preserve"> Meal</w:t>
      </w:r>
      <w:r w:rsidRPr="009E0A74">
        <w:rPr>
          <w:rFonts w:ascii="Arial" w:hAnsi="Arial" w:cs="Arial"/>
          <w:b/>
          <w:sz w:val="24"/>
          <w:szCs w:val="24"/>
        </w:rPr>
        <w:t xml:space="preserve"> Prices at Key </w:t>
      </w:r>
      <w:r>
        <w:rPr>
          <w:rFonts w:ascii="Arial" w:hAnsi="Arial" w:cs="Arial"/>
          <w:b/>
          <w:sz w:val="24"/>
          <w:szCs w:val="24"/>
        </w:rPr>
        <w:t xml:space="preserve">Spot </w:t>
      </w:r>
      <w:r w:rsidRPr="009E0A74">
        <w:rPr>
          <w:rFonts w:ascii="Arial" w:hAnsi="Arial" w:cs="Arial"/>
          <w:b/>
          <w:sz w:val="24"/>
          <w:szCs w:val="24"/>
        </w:rPr>
        <w:t>Markets</w:t>
      </w:r>
      <w:r>
        <w:rPr>
          <w:rFonts w:ascii="Arial" w:hAnsi="Arial" w:cs="Arial"/>
          <w:b/>
          <w:sz w:val="24"/>
          <w:szCs w:val="24"/>
        </w:rPr>
        <w:t>:</w:t>
      </w:r>
    </w:p>
    <w:p w:rsidR="00346D86" w:rsidRPr="004526D5" w:rsidRDefault="00346D86" w:rsidP="00EB45E8">
      <w:pPr>
        <w:spacing w:after="0" w:line="240" w:lineRule="auto"/>
        <w:jc w:val="both"/>
        <w:rPr>
          <w:rFonts w:ascii="Arial" w:eastAsia="Arial Unicode MS" w:hAnsi="Arial" w:cs="Arial"/>
          <w:b/>
          <w:bCs/>
          <w:sz w:val="20"/>
          <w:szCs w:val="20"/>
        </w:rPr>
      </w:pPr>
      <w:r w:rsidRPr="000851A6">
        <w:rPr>
          <w:rFonts w:ascii="Arial" w:hAnsi="Arial" w:cs="Arial"/>
          <w:b/>
          <w:sz w:val="20"/>
        </w:rPr>
        <w:t>Soy DOC Rates at Different Centers</w:t>
      </w:r>
    </w:p>
    <w:tbl>
      <w:tblPr>
        <w:tblW w:w="4968"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tblPr>
      <w:tblGrid>
        <w:gridCol w:w="3059"/>
        <w:gridCol w:w="2134"/>
        <w:gridCol w:w="2186"/>
        <w:gridCol w:w="2762"/>
      </w:tblGrid>
      <w:tr w:rsidR="00346D86" w:rsidRPr="004526D5" w:rsidTr="00217FBE">
        <w:trPr>
          <w:trHeight w:val="77"/>
        </w:trPr>
        <w:tc>
          <w:tcPr>
            <w:tcW w:w="1508" w:type="pct"/>
            <w:vMerge w:val="restart"/>
            <w:vAlign w:val="center"/>
          </w:tcPr>
          <w:p w:rsidR="00346D86" w:rsidRPr="004526D5" w:rsidRDefault="00346D86" w:rsidP="00EB45E8">
            <w:pPr>
              <w:pStyle w:val="AgriwatchTable"/>
              <w:jc w:val="both"/>
              <w:rPr>
                <w:rFonts w:ascii="Arial" w:hAnsi="Arial" w:cs="Arial"/>
                <w:b/>
                <w:sz w:val="20"/>
              </w:rPr>
            </w:pPr>
            <w:r w:rsidRPr="004526D5">
              <w:rPr>
                <w:rFonts w:ascii="Arial" w:hAnsi="Arial" w:cs="Arial"/>
                <w:b/>
                <w:sz w:val="20"/>
              </w:rPr>
              <w:t>Centers</w:t>
            </w:r>
          </w:p>
        </w:tc>
        <w:tc>
          <w:tcPr>
            <w:tcW w:w="3492" w:type="pct"/>
            <w:gridSpan w:val="3"/>
            <w:vAlign w:val="center"/>
          </w:tcPr>
          <w:p w:rsidR="00346D86" w:rsidRPr="004526D5" w:rsidRDefault="00346D86" w:rsidP="00EB45E8">
            <w:pPr>
              <w:pStyle w:val="AgriwatchTable"/>
              <w:ind w:right="-122"/>
              <w:jc w:val="both"/>
              <w:rPr>
                <w:rFonts w:ascii="Arial" w:hAnsi="Arial" w:cs="Arial"/>
                <w:b/>
                <w:sz w:val="20"/>
              </w:rPr>
            </w:pPr>
            <w:r w:rsidRPr="004526D5">
              <w:rPr>
                <w:rFonts w:ascii="Arial" w:hAnsi="Arial" w:cs="Arial"/>
                <w:b/>
                <w:sz w:val="20"/>
              </w:rPr>
              <w:t>Ex-factory rates (Rs/ton)</w:t>
            </w:r>
          </w:p>
        </w:tc>
      </w:tr>
      <w:tr w:rsidR="00346D86" w:rsidRPr="004526D5" w:rsidTr="00217FBE">
        <w:trPr>
          <w:trHeight w:val="403"/>
        </w:trPr>
        <w:tc>
          <w:tcPr>
            <w:tcW w:w="1508" w:type="pct"/>
            <w:vMerge/>
            <w:vAlign w:val="center"/>
          </w:tcPr>
          <w:p w:rsidR="00346D86" w:rsidRPr="004526D5" w:rsidRDefault="00346D86" w:rsidP="00EB45E8">
            <w:pPr>
              <w:pStyle w:val="AgriwatchTable"/>
              <w:jc w:val="both"/>
              <w:rPr>
                <w:rFonts w:ascii="Arial" w:hAnsi="Arial" w:cs="Arial"/>
                <w:b/>
                <w:sz w:val="20"/>
              </w:rPr>
            </w:pPr>
          </w:p>
        </w:tc>
        <w:tc>
          <w:tcPr>
            <w:tcW w:w="1052"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1078"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1362" w:type="pct"/>
            <w:vAlign w:val="center"/>
          </w:tcPr>
          <w:p w:rsidR="00346D86" w:rsidRPr="004526D5" w:rsidRDefault="00346D86" w:rsidP="00EB45E8">
            <w:pPr>
              <w:pStyle w:val="AgriwatchTable"/>
              <w:jc w:val="both"/>
              <w:rPr>
                <w:rFonts w:ascii="Arial" w:hAnsi="Arial" w:cs="Arial"/>
                <w:b/>
                <w:sz w:val="20"/>
              </w:rPr>
            </w:pPr>
            <w:r w:rsidRPr="004526D5">
              <w:rPr>
                <w:rFonts w:ascii="Arial" w:hAnsi="Arial" w:cs="Arial"/>
                <w:b/>
                <w:sz w:val="20"/>
              </w:rPr>
              <w:t>Parity To</w:t>
            </w:r>
          </w:p>
        </w:tc>
      </w:tr>
      <w:tr w:rsidR="00346D86" w:rsidRPr="004526D5" w:rsidTr="00217FBE">
        <w:trPr>
          <w:trHeight w:val="404"/>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Indore (MP)</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17200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17200-17300</w:t>
            </w:r>
          </w:p>
        </w:tc>
        <w:tc>
          <w:tcPr>
            <w:tcW w:w="1362" w:type="pct"/>
            <w:vAlign w:val="center"/>
          </w:tcPr>
          <w:p w:rsidR="00346D86" w:rsidRPr="004526D5" w:rsidRDefault="00346D86" w:rsidP="00EB45E8">
            <w:pPr>
              <w:pStyle w:val="AgriwatchTable"/>
              <w:ind w:right="-122"/>
              <w:jc w:val="both"/>
              <w:rPr>
                <w:rFonts w:ascii="Arial" w:hAnsi="Arial" w:cs="Arial"/>
                <w:sz w:val="20"/>
              </w:rPr>
            </w:pPr>
            <w:r w:rsidRPr="004526D5">
              <w:rPr>
                <w:rFonts w:ascii="Arial" w:hAnsi="Arial" w:cs="Arial"/>
                <w:sz w:val="20"/>
              </w:rPr>
              <w:t>Gujarat, MP</w:t>
            </w:r>
          </w:p>
        </w:tc>
      </w:tr>
      <w:tr w:rsidR="00346D86" w:rsidRPr="004526D5" w:rsidTr="00390044">
        <w:trPr>
          <w:trHeight w:val="375"/>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Kota</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17700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17500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Rajasthan, Del, Punjab, Haryana</w:t>
            </w:r>
          </w:p>
        </w:tc>
      </w:tr>
      <w:tr w:rsidR="00346D86" w:rsidRPr="004526D5" w:rsidTr="008F33D9">
        <w:trPr>
          <w:trHeight w:val="267"/>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Akola</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17400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17600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Andhra, Chattisgarh, Orrisa,Jharkhand, WB</w:t>
            </w:r>
          </w:p>
        </w:tc>
      </w:tr>
      <w:tr w:rsidR="00346D86" w:rsidRPr="004526D5" w:rsidTr="00390044">
        <w:trPr>
          <w:trHeight w:val="483"/>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Hingoli</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18400-18600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18200-18300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Andhra, Chattisgarh, Orrisa,Jharkhand, WB</w:t>
            </w:r>
          </w:p>
        </w:tc>
      </w:tr>
      <w:tr w:rsidR="00346D86" w:rsidRPr="004526D5" w:rsidTr="00217FBE">
        <w:trPr>
          <w:trHeight w:val="289"/>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Nanded/Latur</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18400-18600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18200-18300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Andhra, AP, Kar ,TN</w:t>
            </w:r>
          </w:p>
        </w:tc>
      </w:tr>
      <w:tr w:rsidR="00346D86" w:rsidRPr="004526D5" w:rsidTr="00217FBE">
        <w:trPr>
          <w:trHeight w:val="115"/>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Dhulia/Jalna</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18500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18500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Mumbai, Maharashtra</w:t>
            </w:r>
          </w:p>
        </w:tc>
      </w:tr>
      <w:tr w:rsidR="00346D86" w:rsidRPr="004526D5" w:rsidTr="008F33D9">
        <w:trPr>
          <w:trHeight w:val="420"/>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Nagpur (42/46)</w:t>
            </w:r>
          </w:p>
          <w:p w:rsidR="00346D86" w:rsidRPr="00100485" w:rsidRDefault="00346D86" w:rsidP="00EB45E8">
            <w:pPr>
              <w:pStyle w:val="AgriwatchTable"/>
              <w:jc w:val="both"/>
              <w:rPr>
                <w:rFonts w:ascii="Arial" w:hAnsi="Arial" w:cs="Arial"/>
                <w:sz w:val="20"/>
              </w:rPr>
            </w:pP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17600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17500-17600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Chattisgarh, Orissa, Bihar, Bangladesh, AP, Kar, TN</w:t>
            </w:r>
          </w:p>
        </w:tc>
      </w:tr>
      <w:tr w:rsidR="00346D86" w:rsidRPr="004526D5" w:rsidTr="00217FBE">
        <w:trPr>
          <w:trHeight w:val="269"/>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Sangli</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19200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19000-19200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Local and South</w:t>
            </w:r>
          </w:p>
        </w:tc>
      </w:tr>
      <w:tr w:rsidR="00346D86" w:rsidRPr="004526D5" w:rsidTr="00217FBE">
        <w:trPr>
          <w:trHeight w:val="269"/>
        </w:trPr>
        <w:tc>
          <w:tcPr>
            <w:tcW w:w="1508" w:type="pct"/>
            <w:vAlign w:val="center"/>
          </w:tcPr>
          <w:p w:rsidR="00346D86" w:rsidRPr="00100485" w:rsidRDefault="00346D86" w:rsidP="00EB45E8">
            <w:pPr>
              <w:pStyle w:val="AgriwatchTable"/>
              <w:jc w:val="both"/>
              <w:rPr>
                <w:rFonts w:ascii="Arial" w:hAnsi="Arial" w:cs="Arial"/>
                <w:sz w:val="20"/>
              </w:rPr>
            </w:pPr>
            <w:r w:rsidRPr="00100485">
              <w:rPr>
                <w:rFonts w:ascii="Arial" w:hAnsi="Arial" w:cs="Arial"/>
                <w:sz w:val="20"/>
              </w:rPr>
              <w:t>Solapur</w:t>
            </w:r>
          </w:p>
        </w:tc>
        <w:tc>
          <w:tcPr>
            <w:tcW w:w="1052"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18900</w:t>
            </w:r>
          </w:p>
        </w:tc>
        <w:tc>
          <w:tcPr>
            <w:tcW w:w="1078" w:type="pct"/>
            <w:vAlign w:val="center"/>
          </w:tcPr>
          <w:p w:rsidR="00346D86" w:rsidRPr="004526D5" w:rsidRDefault="00346D86" w:rsidP="00EB45E8">
            <w:pPr>
              <w:pStyle w:val="AgriwatchTable"/>
              <w:jc w:val="both"/>
              <w:rPr>
                <w:rFonts w:ascii="Arial" w:hAnsi="Arial" w:cs="Arial"/>
                <w:color w:val="000000"/>
                <w:sz w:val="20"/>
              </w:rPr>
            </w:pPr>
            <w:r>
              <w:rPr>
                <w:rFonts w:ascii="Arial" w:hAnsi="Arial" w:cs="Arial"/>
                <w:color w:val="000000"/>
                <w:sz w:val="20"/>
              </w:rPr>
              <w:t>18800-18900</w:t>
            </w:r>
          </w:p>
        </w:tc>
        <w:tc>
          <w:tcPr>
            <w:tcW w:w="1362" w:type="pct"/>
            <w:vAlign w:val="center"/>
          </w:tcPr>
          <w:p w:rsidR="00346D86" w:rsidRPr="004526D5" w:rsidRDefault="00346D86" w:rsidP="00EB45E8">
            <w:pPr>
              <w:pStyle w:val="AgriwatchTable"/>
              <w:jc w:val="both"/>
              <w:rPr>
                <w:rFonts w:ascii="Arial" w:hAnsi="Arial" w:cs="Arial"/>
                <w:sz w:val="20"/>
              </w:rPr>
            </w:pPr>
            <w:r w:rsidRPr="004526D5">
              <w:rPr>
                <w:rFonts w:ascii="Arial" w:hAnsi="Arial" w:cs="Arial"/>
                <w:sz w:val="20"/>
              </w:rPr>
              <w:t>Local and South</w:t>
            </w:r>
          </w:p>
        </w:tc>
      </w:tr>
    </w:tbl>
    <w:p w:rsidR="003F3766" w:rsidRDefault="003F3766" w:rsidP="00EB45E8">
      <w:pPr>
        <w:jc w:val="both"/>
        <w:rPr>
          <w:rFonts w:ascii="Arial" w:hAnsi="Arial" w:cs="Arial"/>
          <w:b/>
          <w:sz w:val="24"/>
          <w:szCs w:val="24"/>
        </w:rPr>
      </w:pPr>
    </w:p>
    <w:p w:rsidR="00346D86" w:rsidRPr="004526D5" w:rsidRDefault="00346D86" w:rsidP="00EB45E8">
      <w:pPr>
        <w:spacing w:after="0" w:line="240" w:lineRule="auto"/>
        <w:jc w:val="both"/>
        <w:rPr>
          <w:rFonts w:ascii="Arial" w:hAnsi="Arial" w:cs="Arial"/>
          <w:b/>
          <w:sz w:val="20"/>
        </w:rPr>
      </w:pPr>
      <w:r w:rsidRPr="004526D5">
        <w:rPr>
          <w:rFonts w:ascii="Arial" w:hAnsi="Arial" w:cs="Arial"/>
          <w:b/>
          <w:sz w:val="20"/>
        </w:rPr>
        <w:t>Soy DOC</w:t>
      </w:r>
      <w:r w:rsidR="00A5762D">
        <w:rPr>
          <w:rFonts w:ascii="Arial" w:hAnsi="Arial" w:cs="Arial"/>
          <w:b/>
          <w:sz w:val="20"/>
        </w:rPr>
        <w:t xml:space="preserve"> at Port</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3316"/>
        <w:gridCol w:w="3446"/>
        <w:gridCol w:w="3444"/>
      </w:tblGrid>
      <w:tr w:rsidR="00346D86" w:rsidRPr="004526D5" w:rsidTr="00217FBE">
        <w:trPr>
          <w:trHeight w:val="220"/>
        </w:trPr>
        <w:tc>
          <w:tcPr>
            <w:tcW w:w="1625" w:type="pct"/>
            <w:vMerge w:val="restart"/>
            <w:vAlign w:val="center"/>
          </w:tcPr>
          <w:p w:rsidR="00346D86" w:rsidRPr="004526D5" w:rsidRDefault="00346D86" w:rsidP="00EB45E8">
            <w:pPr>
              <w:pStyle w:val="AgriwatchBlackBold"/>
              <w:jc w:val="both"/>
              <w:rPr>
                <w:rFonts w:ascii="Arial" w:hAnsi="Arial" w:cs="Arial"/>
                <w:color w:val="auto"/>
                <w:szCs w:val="20"/>
              </w:rPr>
            </w:pPr>
            <w:r w:rsidRPr="004526D5">
              <w:rPr>
                <w:rFonts w:ascii="Arial" w:hAnsi="Arial" w:cs="Arial"/>
                <w:color w:val="auto"/>
                <w:szCs w:val="20"/>
              </w:rPr>
              <w:t>Centers</w:t>
            </w:r>
          </w:p>
        </w:tc>
        <w:tc>
          <w:tcPr>
            <w:tcW w:w="3375" w:type="pct"/>
            <w:gridSpan w:val="2"/>
          </w:tcPr>
          <w:p w:rsidR="00346D86" w:rsidRPr="004526D5" w:rsidRDefault="00346D86" w:rsidP="00EB45E8">
            <w:pPr>
              <w:pStyle w:val="AgriwatchBlackBold"/>
              <w:jc w:val="both"/>
              <w:rPr>
                <w:rFonts w:ascii="Arial" w:hAnsi="Arial" w:cs="Arial"/>
                <w:color w:val="auto"/>
                <w:szCs w:val="20"/>
              </w:rPr>
            </w:pPr>
            <w:r>
              <w:rPr>
                <w:rFonts w:ascii="Arial" w:hAnsi="Arial" w:cs="Arial"/>
                <w:color w:val="auto"/>
                <w:szCs w:val="20"/>
              </w:rPr>
              <w:t>Port Price</w:t>
            </w:r>
          </w:p>
        </w:tc>
      </w:tr>
      <w:tr w:rsidR="00346D86" w:rsidRPr="004526D5" w:rsidTr="00217FBE">
        <w:trPr>
          <w:trHeight w:val="119"/>
        </w:trPr>
        <w:tc>
          <w:tcPr>
            <w:tcW w:w="1625" w:type="pct"/>
            <w:vMerge/>
          </w:tcPr>
          <w:p w:rsidR="00346D86" w:rsidRPr="004526D5" w:rsidRDefault="00346D86" w:rsidP="00EB45E8">
            <w:pPr>
              <w:pStyle w:val="AgriwatchBlackBold"/>
              <w:jc w:val="both"/>
              <w:rPr>
                <w:rFonts w:ascii="Arial" w:hAnsi="Arial" w:cs="Arial"/>
                <w:color w:val="auto"/>
                <w:szCs w:val="20"/>
              </w:rPr>
            </w:pPr>
          </w:p>
        </w:tc>
        <w:tc>
          <w:tcPr>
            <w:tcW w:w="1688"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1687"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r>
      <w:tr w:rsidR="00346D86" w:rsidRPr="004526D5" w:rsidTr="00390044">
        <w:trPr>
          <w:trHeight w:val="348"/>
        </w:trPr>
        <w:tc>
          <w:tcPr>
            <w:tcW w:w="1625" w:type="pct"/>
          </w:tcPr>
          <w:p w:rsidR="00346D86" w:rsidRPr="004526D5" w:rsidRDefault="00346D86" w:rsidP="00EB45E8">
            <w:pPr>
              <w:pStyle w:val="AgriwatchTable"/>
              <w:jc w:val="both"/>
              <w:rPr>
                <w:rFonts w:ascii="Arial" w:hAnsi="Arial" w:cs="Arial"/>
                <w:sz w:val="20"/>
              </w:rPr>
            </w:pPr>
            <w:r w:rsidRPr="004526D5">
              <w:rPr>
                <w:rFonts w:ascii="Arial" w:hAnsi="Arial" w:cs="Arial"/>
                <w:sz w:val="20"/>
              </w:rPr>
              <w:t>Kandla (FOR)</w:t>
            </w:r>
            <w:r>
              <w:rPr>
                <w:rFonts w:ascii="Arial" w:hAnsi="Arial" w:cs="Arial"/>
                <w:sz w:val="20"/>
              </w:rPr>
              <w:t xml:space="preserve"> (INR/MT)</w:t>
            </w:r>
          </w:p>
        </w:tc>
        <w:tc>
          <w:tcPr>
            <w:tcW w:w="1688"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18400-18500</w:t>
            </w:r>
          </w:p>
        </w:tc>
        <w:tc>
          <w:tcPr>
            <w:tcW w:w="1687"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18250-18300</w:t>
            </w:r>
          </w:p>
        </w:tc>
      </w:tr>
      <w:tr w:rsidR="00346D86" w:rsidRPr="004526D5" w:rsidTr="00217FBE">
        <w:trPr>
          <w:trHeight w:val="386"/>
        </w:trPr>
        <w:tc>
          <w:tcPr>
            <w:tcW w:w="1625" w:type="pct"/>
          </w:tcPr>
          <w:p w:rsidR="00346D86" w:rsidRPr="004526D5" w:rsidRDefault="00346D86" w:rsidP="00EB45E8">
            <w:pPr>
              <w:pStyle w:val="AgriwatchTable"/>
              <w:jc w:val="both"/>
              <w:rPr>
                <w:rFonts w:ascii="Arial" w:hAnsi="Arial" w:cs="Arial"/>
                <w:sz w:val="20"/>
              </w:rPr>
            </w:pPr>
            <w:r w:rsidRPr="004526D5">
              <w:rPr>
                <w:rFonts w:ascii="Arial" w:hAnsi="Arial" w:cs="Arial"/>
                <w:sz w:val="20"/>
              </w:rPr>
              <w:t>Kandla (FAS)</w:t>
            </w:r>
            <w:r>
              <w:rPr>
                <w:rFonts w:ascii="Arial" w:hAnsi="Arial" w:cs="Arial"/>
                <w:sz w:val="20"/>
              </w:rPr>
              <w:t xml:space="preserve"> (USD/MT)</w:t>
            </w:r>
          </w:p>
        </w:tc>
        <w:tc>
          <w:tcPr>
            <w:tcW w:w="1688"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405-407</w:t>
            </w:r>
          </w:p>
        </w:tc>
        <w:tc>
          <w:tcPr>
            <w:tcW w:w="1687" w:type="pct"/>
            <w:vAlign w:val="center"/>
          </w:tcPr>
          <w:p w:rsidR="00346D86" w:rsidRPr="004526D5" w:rsidRDefault="00346D86" w:rsidP="00EB45E8">
            <w:pPr>
              <w:pStyle w:val="AgriwatchBlackBold"/>
              <w:jc w:val="both"/>
              <w:rPr>
                <w:rFonts w:ascii="Arial" w:hAnsi="Arial" w:cs="Arial"/>
                <w:b w:val="0"/>
                <w:bCs/>
                <w:color w:val="auto"/>
                <w:szCs w:val="20"/>
              </w:rPr>
            </w:pPr>
            <w:r>
              <w:rPr>
                <w:rFonts w:ascii="Arial" w:hAnsi="Arial" w:cs="Arial"/>
                <w:b w:val="0"/>
                <w:bCs/>
                <w:color w:val="auto"/>
                <w:szCs w:val="20"/>
              </w:rPr>
              <w:t>405-407</w:t>
            </w:r>
          </w:p>
        </w:tc>
      </w:tr>
    </w:tbl>
    <w:p w:rsidR="00346D86" w:rsidRDefault="00346D86" w:rsidP="00EB45E8">
      <w:pPr>
        <w:jc w:val="both"/>
        <w:rPr>
          <w:rFonts w:ascii="Arial" w:hAnsi="Arial" w:cs="Arial"/>
          <w:b/>
          <w:sz w:val="24"/>
          <w:szCs w:val="24"/>
        </w:rPr>
      </w:pPr>
    </w:p>
    <w:p w:rsidR="00346D86" w:rsidRPr="004C113A" w:rsidRDefault="00346D86" w:rsidP="00EB45E8">
      <w:pPr>
        <w:spacing w:after="0" w:line="240" w:lineRule="auto"/>
        <w:jc w:val="both"/>
        <w:rPr>
          <w:rFonts w:ascii="Arial" w:hAnsi="Arial" w:cs="Arial"/>
          <w:b/>
          <w:sz w:val="20"/>
          <w:szCs w:val="20"/>
        </w:rPr>
      </w:pPr>
      <w:r>
        <w:rPr>
          <w:rFonts w:ascii="Arial" w:hAnsi="Arial" w:cs="Arial"/>
          <w:b/>
          <w:sz w:val="20"/>
          <w:szCs w:val="20"/>
        </w:rPr>
        <w:t xml:space="preserve">International </w:t>
      </w:r>
      <w:r w:rsidRPr="004C113A">
        <w:rPr>
          <w:rFonts w:ascii="Arial" w:hAnsi="Arial" w:cs="Arial"/>
          <w:b/>
          <w:sz w:val="20"/>
          <w:szCs w:val="20"/>
        </w:rPr>
        <w:t>Soy DOC</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3951"/>
        <w:gridCol w:w="1316"/>
        <w:gridCol w:w="1811"/>
        <w:gridCol w:w="1811"/>
        <w:gridCol w:w="1317"/>
      </w:tblGrid>
      <w:tr w:rsidR="00346D86" w:rsidRPr="008E0814" w:rsidTr="00217FBE">
        <w:trPr>
          <w:trHeight w:val="337"/>
        </w:trPr>
        <w:tc>
          <w:tcPr>
            <w:tcW w:w="1936" w:type="pc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Argentina FOB $/MT</w:t>
            </w:r>
          </w:p>
        </w:tc>
        <w:tc>
          <w:tcPr>
            <w:tcW w:w="645" w:type="pc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Ship</w:t>
            </w:r>
          </w:p>
        </w:tc>
        <w:tc>
          <w:tcPr>
            <w:tcW w:w="887"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887"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645" w:type="pc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w:t>
            </w:r>
          </w:p>
        </w:tc>
      </w:tr>
      <w:tr w:rsidR="00346D86" w:rsidRPr="008E0814"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Soybean Pellets</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376</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365</w:t>
            </w:r>
          </w:p>
        </w:tc>
        <w:tc>
          <w:tcPr>
            <w:tcW w:w="645" w:type="pct"/>
            <w:vAlign w:val="center"/>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+11</w:t>
            </w:r>
          </w:p>
        </w:tc>
      </w:tr>
      <w:tr w:rsidR="00346D86" w:rsidRPr="008E0814"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Soybean Cake Meal</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376</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365</w:t>
            </w:r>
          </w:p>
        </w:tc>
        <w:tc>
          <w:tcPr>
            <w:tcW w:w="645" w:type="pct"/>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+11</w:t>
            </w:r>
          </w:p>
        </w:tc>
      </w:tr>
      <w:tr w:rsidR="00346D86" w:rsidRPr="008E0814"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Soybean Meal</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384</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373</w:t>
            </w:r>
          </w:p>
        </w:tc>
        <w:tc>
          <w:tcPr>
            <w:tcW w:w="645" w:type="pct"/>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+10</w:t>
            </w:r>
          </w:p>
        </w:tc>
      </w:tr>
      <w:tr w:rsidR="00346D86" w:rsidRPr="0062536F" w:rsidTr="00217FBE">
        <w:trPr>
          <w:trHeight w:val="326"/>
        </w:trPr>
        <w:tc>
          <w:tcPr>
            <w:tcW w:w="1936"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Soy Expellers</w:t>
            </w:r>
          </w:p>
        </w:tc>
        <w:tc>
          <w:tcPr>
            <w:tcW w:w="645"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M</w:t>
            </w:r>
          </w:p>
        </w:tc>
        <w:tc>
          <w:tcPr>
            <w:tcW w:w="887" w:type="pct"/>
            <w:vAlign w:val="center"/>
          </w:tcPr>
          <w:p w:rsidR="00346D86" w:rsidRPr="004C113A" w:rsidRDefault="00346D86" w:rsidP="00EB45E8">
            <w:pPr>
              <w:pStyle w:val="AgriwatchTable"/>
              <w:jc w:val="both"/>
              <w:rPr>
                <w:rFonts w:ascii="Arial" w:hAnsi="Arial" w:cs="Arial"/>
                <w:sz w:val="20"/>
              </w:rPr>
            </w:pPr>
            <w:r>
              <w:rPr>
                <w:rFonts w:ascii="Arial" w:hAnsi="Arial" w:cs="Arial"/>
                <w:sz w:val="20"/>
              </w:rPr>
              <w:t>384</w:t>
            </w:r>
          </w:p>
        </w:tc>
        <w:tc>
          <w:tcPr>
            <w:tcW w:w="887" w:type="pct"/>
            <w:vAlign w:val="center"/>
          </w:tcPr>
          <w:p w:rsidR="00346D86" w:rsidRPr="001734A7" w:rsidRDefault="00346D86" w:rsidP="00EB45E8">
            <w:pPr>
              <w:pStyle w:val="AgriwatchTable"/>
              <w:jc w:val="both"/>
              <w:rPr>
                <w:rFonts w:ascii="Arial" w:hAnsi="Arial" w:cs="Arial"/>
                <w:sz w:val="20"/>
              </w:rPr>
            </w:pPr>
            <w:r>
              <w:rPr>
                <w:rFonts w:ascii="Arial" w:hAnsi="Arial" w:cs="Arial"/>
                <w:sz w:val="20"/>
              </w:rPr>
              <w:t>373</w:t>
            </w:r>
          </w:p>
        </w:tc>
        <w:tc>
          <w:tcPr>
            <w:tcW w:w="645" w:type="pct"/>
          </w:tcPr>
          <w:p w:rsidR="00346D86" w:rsidRPr="00C54DC2" w:rsidRDefault="00346D86" w:rsidP="00EB45E8">
            <w:pPr>
              <w:pStyle w:val="AgriwatchTable"/>
              <w:jc w:val="both"/>
              <w:rPr>
                <w:rFonts w:ascii="Arial" w:hAnsi="Arial" w:cs="Arial"/>
                <w:color w:val="00B050"/>
                <w:sz w:val="20"/>
              </w:rPr>
            </w:pPr>
            <w:r w:rsidRPr="00C54DC2">
              <w:rPr>
                <w:rFonts w:ascii="Arial" w:hAnsi="Arial" w:cs="Arial"/>
                <w:color w:val="00B050"/>
                <w:sz w:val="20"/>
              </w:rPr>
              <w:t>+10</w:t>
            </w:r>
          </w:p>
        </w:tc>
      </w:tr>
    </w:tbl>
    <w:p w:rsidR="00346D86" w:rsidRPr="00390044" w:rsidRDefault="00346D86" w:rsidP="00EB45E8">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t>Sunflower Meal Rates</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2467"/>
        <w:gridCol w:w="2952"/>
        <w:gridCol w:w="2358"/>
        <w:gridCol w:w="2429"/>
      </w:tblGrid>
      <w:tr w:rsidR="00346D86" w:rsidRPr="0062536F" w:rsidTr="00217FBE">
        <w:tc>
          <w:tcPr>
            <w:tcW w:w="1209" w:type="pct"/>
            <w:vMerge w:val="restart"/>
            <w:vAlign w:val="center"/>
          </w:tcPr>
          <w:p w:rsidR="00346D86" w:rsidRPr="004C113A" w:rsidRDefault="00346D86" w:rsidP="00EB45E8">
            <w:pPr>
              <w:pStyle w:val="AgriwatchTable"/>
              <w:jc w:val="both"/>
              <w:rPr>
                <w:rFonts w:ascii="Arial" w:hAnsi="Arial" w:cs="Arial"/>
                <w:b/>
                <w:sz w:val="20"/>
              </w:rPr>
            </w:pPr>
            <w:r w:rsidRPr="004C113A">
              <w:rPr>
                <w:rFonts w:ascii="Arial" w:hAnsi="Arial" w:cs="Arial"/>
                <w:b/>
                <w:sz w:val="20"/>
              </w:rPr>
              <w:t>Centers</w:t>
            </w:r>
          </w:p>
        </w:tc>
        <w:tc>
          <w:tcPr>
            <w:tcW w:w="3791" w:type="pct"/>
            <w:gridSpan w:val="3"/>
            <w:vAlign w:val="center"/>
          </w:tcPr>
          <w:p w:rsidR="00346D86" w:rsidRPr="004C113A" w:rsidRDefault="00346D86" w:rsidP="00EB45E8">
            <w:pPr>
              <w:pStyle w:val="AgriwatchTable"/>
              <w:ind w:right="-125"/>
              <w:jc w:val="both"/>
              <w:rPr>
                <w:rFonts w:ascii="Arial" w:hAnsi="Arial" w:cs="Arial"/>
                <w:b/>
                <w:sz w:val="20"/>
              </w:rPr>
            </w:pPr>
            <w:r w:rsidRPr="004C113A">
              <w:rPr>
                <w:rFonts w:ascii="Arial" w:hAnsi="Arial" w:cs="Arial"/>
                <w:b/>
                <w:sz w:val="20"/>
              </w:rPr>
              <w:t>Ex-factory rates (Rs/ton)</w:t>
            </w:r>
          </w:p>
        </w:tc>
      </w:tr>
      <w:tr w:rsidR="00346D86" w:rsidRPr="0062536F" w:rsidTr="008F33D9">
        <w:trPr>
          <w:trHeight w:val="213"/>
        </w:trPr>
        <w:tc>
          <w:tcPr>
            <w:tcW w:w="1209" w:type="pct"/>
            <w:vMerge/>
            <w:vAlign w:val="center"/>
          </w:tcPr>
          <w:p w:rsidR="00346D86" w:rsidRPr="004C113A" w:rsidRDefault="00346D86" w:rsidP="00EB45E8">
            <w:pPr>
              <w:pStyle w:val="AgriwatchTable"/>
              <w:jc w:val="both"/>
              <w:rPr>
                <w:rFonts w:ascii="Arial" w:hAnsi="Arial" w:cs="Arial"/>
                <w:b/>
                <w:sz w:val="20"/>
              </w:rPr>
            </w:pPr>
          </w:p>
        </w:tc>
        <w:tc>
          <w:tcPr>
            <w:tcW w:w="1446"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1155" w:type="pct"/>
            <w:vAlign w:val="center"/>
          </w:tcPr>
          <w:p w:rsidR="00346D86" w:rsidRPr="00706A4F" w:rsidRDefault="00346D86"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1190" w:type="pct"/>
            <w:vAlign w:val="center"/>
          </w:tcPr>
          <w:p w:rsidR="00346D86" w:rsidRPr="004C113A" w:rsidRDefault="00346D86" w:rsidP="00EB45E8">
            <w:pPr>
              <w:pStyle w:val="AgriwatchTable"/>
              <w:jc w:val="both"/>
              <w:rPr>
                <w:rFonts w:ascii="Arial" w:hAnsi="Arial" w:cs="Arial"/>
                <w:sz w:val="20"/>
              </w:rPr>
            </w:pPr>
            <w:r w:rsidRPr="004C113A">
              <w:rPr>
                <w:rFonts w:ascii="Arial" w:hAnsi="Arial" w:cs="Arial"/>
                <w:sz w:val="20"/>
              </w:rPr>
              <w:t>Change</w:t>
            </w:r>
          </w:p>
        </w:tc>
      </w:tr>
      <w:tr w:rsidR="00346D86" w:rsidRPr="0062536F" w:rsidTr="00217FBE">
        <w:trPr>
          <w:trHeight w:val="57"/>
        </w:trPr>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Adoni</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14500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14500</w:t>
            </w:r>
          </w:p>
        </w:tc>
        <w:tc>
          <w:tcPr>
            <w:tcW w:w="1190" w:type="pct"/>
          </w:tcPr>
          <w:p w:rsidR="00346D86" w:rsidRPr="00DD2439" w:rsidRDefault="00346D86" w:rsidP="00EB45E8">
            <w:pPr>
              <w:pStyle w:val="AgriwatchTable"/>
              <w:jc w:val="both"/>
              <w:rPr>
                <w:rFonts w:ascii="Arial" w:hAnsi="Arial" w:cs="Arial"/>
                <w:b/>
                <w:color w:val="548DD4" w:themeColor="text2" w:themeTint="99"/>
                <w:sz w:val="20"/>
              </w:rPr>
            </w:pPr>
            <w:r>
              <w:rPr>
                <w:rFonts w:ascii="Arial" w:hAnsi="Arial" w:cs="Arial"/>
                <w:b/>
                <w:color w:val="548DD4" w:themeColor="text2" w:themeTint="99"/>
                <w:sz w:val="20"/>
              </w:rPr>
              <w:t>Unch</w:t>
            </w:r>
          </w:p>
        </w:tc>
      </w:tr>
      <w:tr w:rsidR="00346D86" w:rsidRPr="0062536F" w:rsidTr="00217FBE">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Khamgaon</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13200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13100</w:t>
            </w:r>
          </w:p>
        </w:tc>
        <w:tc>
          <w:tcPr>
            <w:tcW w:w="1190" w:type="pct"/>
          </w:tcPr>
          <w:p w:rsidR="00346D86" w:rsidRPr="009E7C31" w:rsidRDefault="00346D86" w:rsidP="00EB45E8">
            <w:pPr>
              <w:pStyle w:val="AgriwatchTable"/>
              <w:jc w:val="both"/>
              <w:rPr>
                <w:rFonts w:ascii="Arial" w:hAnsi="Arial" w:cs="Arial"/>
                <w:b/>
                <w:color w:val="00B050"/>
                <w:sz w:val="20"/>
              </w:rPr>
            </w:pPr>
            <w:r w:rsidRPr="009E7C31">
              <w:rPr>
                <w:rFonts w:ascii="Arial" w:hAnsi="Arial" w:cs="Arial"/>
                <w:b/>
                <w:color w:val="00B050"/>
                <w:sz w:val="20"/>
              </w:rPr>
              <w:t>+100</w:t>
            </w:r>
          </w:p>
        </w:tc>
      </w:tr>
      <w:tr w:rsidR="00346D86" w:rsidRPr="0062536F" w:rsidTr="008F33D9">
        <w:trPr>
          <w:trHeight w:val="87"/>
        </w:trPr>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Latur</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13700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13600</w:t>
            </w:r>
          </w:p>
        </w:tc>
        <w:tc>
          <w:tcPr>
            <w:tcW w:w="1190" w:type="pct"/>
          </w:tcPr>
          <w:p w:rsidR="00346D86" w:rsidRPr="009E7C31" w:rsidRDefault="00346D86" w:rsidP="00EB45E8">
            <w:pPr>
              <w:pStyle w:val="AgriwatchTable"/>
              <w:jc w:val="both"/>
              <w:rPr>
                <w:rFonts w:ascii="Arial" w:hAnsi="Arial" w:cs="Arial"/>
                <w:b/>
                <w:color w:val="00B050"/>
                <w:sz w:val="20"/>
              </w:rPr>
            </w:pPr>
            <w:r w:rsidRPr="009E7C31">
              <w:rPr>
                <w:rFonts w:ascii="Arial" w:hAnsi="Arial" w:cs="Arial"/>
                <w:b/>
                <w:color w:val="00B050"/>
                <w:sz w:val="20"/>
              </w:rPr>
              <w:t>+100</w:t>
            </w:r>
          </w:p>
        </w:tc>
      </w:tr>
      <w:tr w:rsidR="00346D86" w:rsidRPr="0062536F" w:rsidTr="00217FBE">
        <w:tc>
          <w:tcPr>
            <w:tcW w:w="1209" w:type="pct"/>
            <w:vAlign w:val="center"/>
          </w:tcPr>
          <w:p w:rsidR="00346D86" w:rsidRPr="0062536F" w:rsidRDefault="00346D86" w:rsidP="00EB45E8">
            <w:pPr>
              <w:pStyle w:val="AgriwatchTable"/>
              <w:jc w:val="both"/>
              <w:rPr>
                <w:rFonts w:ascii="Arial" w:hAnsi="Arial" w:cs="Arial"/>
                <w:sz w:val="20"/>
              </w:rPr>
            </w:pPr>
            <w:r w:rsidRPr="0062536F">
              <w:rPr>
                <w:rFonts w:ascii="Arial" w:hAnsi="Arial" w:cs="Arial"/>
                <w:sz w:val="20"/>
              </w:rPr>
              <w:t>Parli</w:t>
            </w:r>
          </w:p>
        </w:tc>
        <w:tc>
          <w:tcPr>
            <w:tcW w:w="1446"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13700</w:t>
            </w:r>
          </w:p>
        </w:tc>
        <w:tc>
          <w:tcPr>
            <w:tcW w:w="1155" w:type="pct"/>
            <w:vAlign w:val="center"/>
          </w:tcPr>
          <w:p w:rsidR="00346D86" w:rsidRPr="00C80C85" w:rsidRDefault="00346D86" w:rsidP="00EB45E8">
            <w:pPr>
              <w:pStyle w:val="AgriwatchTable"/>
              <w:jc w:val="both"/>
              <w:rPr>
                <w:rFonts w:ascii="Arial" w:hAnsi="Arial" w:cs="Arial"/>
                <w:sz w:val="20"/>
              </w:rPr>
            </w:pPr>
            <w:r>
              <w:rPr>
                <w:rFonts w:ascii="Arial" w:hAnsi="Arial" w:cs="Arial"/>
                <w:sz w:val="20"/>
              </w:rPr>
              <w:t>13700</w:t>
            </w:r>
          </w:p>
        </w:tc>
        <w:tc>
          <w:tcPr>
            <w:tcW w:w="1190" w:type="pct"/>
          </w:tcPr>
          <w:p w:rsidR="00346D86" w:rsidRPr="00DD2439" w:rsidRDefault="00346D86" w:rsidP="00EB45E8">
            <w:pPr>
              <w:pStyle w:val="AgriwatchTable"/>
              <w:jc w:val="both"/>
              <w:rPr>
                <w:rFonts w:ascii="Arial" w:hAnsi="Arial" w:cs="Arial"/>
                <w:b/>
                <w:color w:val="548DD4" w:themeColor="text2" w:themeTint="99"/>
                <w:sz w:val="20"/>
              </w:rPr>
            </w:pPr>
            <w:r>
              <w:rPr>
                <w:rFonts w:ascii="Arial" w:hAnsi="Arial" w:cs="Arial"/>
                <w:b/>
                <w:color w:val="548DD4" w:themeColor="text2" w:themeTint="99"/>
                <w:sz w:val="20"/>
              </w:rPr>
              <w:t>Unch</w:t>
            </w:r>
          </w:p>
        </w:tc>
      </w:tr>
    </w:tbl>
    <w:p w:rsidR="000851A6" w:rsidRDefault="000851A6" w:rsidP="00EB45E8">
      <w:pPr>
        <w:spacing w:after="0" w:line="240" w:lineRule="auto"/>
        <w:ind w:left="-86"/>
        <w:jc w:val="both"/>
        <w:rPr>
          <w:rFonts w:ascii="Arial" w:eastAsia="Arial Unicode MS" w:hAnsi="Arial" w:cs="Arial"/>
          <w:b/>
          <w:bCs/>
          <w:sz w:val="20"/>
          <w:szCs w:val="20"/>
        </w:rPr>
      </w:pPr>
    </w:p>
    <w:p w:rsidR="00346D86" w:rsidRPr="00390044" w:rsidRDefault="00390044" w:rsidP="00EB45E8">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lastRenderedPageBreak/>
        <w:t>Groundnut Meal</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5058"/>
        <w:gridCol w:w="2398"/>
        <w:gridCol w:w="1711"/>
        <w:gridCol w:w="1039"/>
      </w:tblGrid>
      <w:tr w:rsidR="00390044" w:rsidRPr="00F9451D" w:rsidTr="00217FBE">
        <w:trPr>
          <w:trHeight w:val="384"/>
        </w:trPr>
        <w:tc>
          <w:tcPr>
            <w:tcW w:w="2478" w:type="pct"/>
            <w:noWrap/>
            <w:vAlign w:val="center"/>
            <w:hideMark/>
          </w:tcPr>
          <w:p w:rsidR="00390044" w:rsidRPr="00032AE6" w:rsidRDefault="00390044" w:rsidP="00EB45E8">
            <w:pPr>
              <w:pStyle w:val="AgriwatchTable"/>
              <w:jc w:val="both"/>
              <w:rPr>
                <w:rFonts w:ascii="Arial" w:hAnsi="Arial" w:cs="Arial"/>
                <w:b/>
                <w:sz w:val="20"/>
              </w:rPr>
            </w:pPr>
            <w:r w:rsidRPr="00032AE6">
              <w:rPr>
                <w:rFonts w:ascii="Arial" w:hAnsi="Arial" w:cs="Arial"/>
                <w:b/>
                <w:sz w:val="20"/>
              </w:rPr>
              <w:t>Groundnut Meal</w:t>
            </w:r>
          </w:p>
        </w:tc>
        <w:tc>
          <w:tcPr>
            <w:tcW w:w="1175" w:type="pct"/>
            <w:noWrap/>
            <w:vAlign w:val="center"/>
            <w:hideMark/>
          </w:tcPr>
          <w:p w:rsidR="00390044" w:rsidRPr="00706A4F" w:rsidRDefault="00390044" w:rsidP="00EB45E8">
            <w:pPr>
              <w:pStyle w:val="AgriwatchTable"/>
              <w:jc w:val="both"/>
              <w:rPr>
                <w:rFonts w:ascii="Arial" w:hAnsi="Arial" w:cs="Arial"/>
                <w:b/>
                <w:sz w:val="20"/>
              </w:rPr>
            </w:pPr>
            <w:r>
              <w:rPr>
                <w:rFonts w:ascii="Arial" w:hAnsi="Arial" w:cs="Arial"/>
                <w:b/>
                <w:sz w:val="20"/>
              </w:rPr>
              <w:t>21</w:t>
            </w:r>
            <w:r w:rsidRPr="00706A4F">
              <w:rPr>
                <w:rFonts w:ascii="Arial" w:hAnsi="Arial" w:cs="Arial"/>
                <w:b/>
                <w:sz w:val="20"/>
              </w:rPr>
              <w:t>/05/11</w:t>
            </w:r>
          </w:p>
        </w:tc>
        <w:tc>
          <w:tcPr>
            <w:tcW w:w="838" w:type="pct"/>
            <w:vAlign w:val="center"/>
          </w:tcPr>
          <w:p w:rsidR="00390044" w:rsidRPr="00706A4F" w:rsidRDefault="00390044" w:rsidP="00EB45E8">
            <w:pPr>
              <w:pStyle w:val="AgriwatchTable"/>
              <w:jc w:val="both"/>
              <w:rPr>
                <w:rFonts w:ascii="Arial" w:hAnsi="Arial" w:cs="Arial"/>
                <w:b/>
                <w:sz w:val="20"/>
              </w:rPr>
            </w:pPr>
            <w:r>
              <w:rPr>
                <w:rFonts w:ascii="Arial" w:hAnsi="Arial" w:cs="Arial"/>
                <w:b/>
                <w:sz w:val="20"/>
              </w:rPr>
              <w:t>14</w:t>
            </w:r>
            <w:r w:rsidRPr="00706A4F">
              <w:rPr>
                <w:rFonts w:ascii="Arial" w:hAnsi="Arial" w:cs="Arial"/>
                <w:b/>
                <w:sz w:val="20"/>
              </w:rPr>
              <w:t>/05/11</w:t>
            </w:r>
          </w:p>
        </w:tc>
        <w:tc>
          <w:tcPr>
            <w:tcW w:w="510" w:type="pct"/>
            <w:vAlign w:val="center"/>
          </w:tcPr>
          <w:p w:rsidR="00390044" w:rsidRPr="00032AE6" w:rsidRDefault="00390044" w:rsidP="00EB45E8">
            <w:pPr>
              <w:pStyle w:val="AgriwatchTable"/>
              <w:jc w:val="both"/>
              <w:rPr>
                <w:rFonts w:ascii="Arial" w:hAnsi="Arial" w:cs="Arial"/>
                <w:b/>
                <w:sz w:val="20"/>
              </w:rPr>
            </w:pPr>
            <w:r w:rsidRPr="00032AE6">
              <w:rPr>
                <w:rFonts w:ascii="Arial" w:hAnsi="Arial" w:cs="Arial"/>
                <w:b/>
                <w:sz w:val="20"/>
              </w:rPr>
              <w:t>Chg</w:t>
            </w:r>
          </w:p>
        </w:tc>
      </w:tr>
      <w:tr w:rsidR="00390044" w:rsidRPr="00F9451D" w:rsidTr="00217FBE">
        <w:trPr>
          <w:trHeight w:val="300"/>
        </w:trPr>
        <w:tc>
          <w:tcPr>
            <w:tcW w:w="2478" w:type="pct"/>
            <w:noWrap/>
            <w:vAlign w:val="center"/>
            <w:hideMark/>
          </w:tcPr>
          <w:p w:rsidR="00390044" w:rsidRPr="00032AE6" w:rsidRDefault="00390044" w:rsidP="00EB45E8">
            <w:pPr>
              <w:pStyle w:val="AgriwatchTable"/>
              <w:jc w:val="both"/>
              <w:rPr>
                <w:rFonts w:ascii="Arial" w:hAnsi="Arial" w:cs="Arial"/>
                <w:sz w:val="20"/>
              </w:rPr>
            </w:pPr>
            <w:r w:rsidRPr="00032AE6">
              <w:rPr>
                <w:rFonts w:ascii="Arial" w:hAnsi="Arial" w:cs="Arial"/>
                <w:sz w:val="20"/>
              </w:rPr>
              <w:t>Basis 45% O&amp;A, Saurashtra</w:t>
            </w:r>
          </w:p>
        </w:tc>
        <w:tc>
          <w:tcPr>
            <w:tcW w:w="1175" w:type="pct"/>
            <w:noWrap/>
            <w:vAlign w:val="center"/>
            <w:hideMark/>
          </w:tcPr>
          <w:p w:rsidR="00390044" w:rsidRPr="00032AE6" w:rsidRDefault="00390044" w:rsidP="00EB45E8">
            <w:pPr>
              <w:pStyle w:val="AgriwatchTable"/>
              <w:jc w:val="both"/>
              <w:rPr>
                <w:rFonts w:ascii="Arial" w:hAnsi="Arial" w:cs="Arial"/>
                <w:sz w:val="20"/>
              </w:rPr>
            </w:pPr>
            <w:r>
              <w:rPr>
                <w:rFonts w:ascii="Arial" w:hAnsi="Arial" w:cs="Arial"/>
                <w:sz w:val="20"/>
              </w:rPr>
              <w:t>15600</w:t>
            </w:r>
          </w:p>
        </w:tc>
        <w:tc>
          <w:tcPr>
            <w:tcW w:w="838" w:type="pct"/>
            <w:vAlign w:val="center"/>
          </w:tcPr>
          <w:p w:rsidR="00390044" w:rsidRPr="00032AE6" w:rsidRDefault="00390044" w:rsidP="00EB45E8">
            <w:pPr>
              <w:pStyle w:val="AgriwatchTable"/>
              <w:jc w:val="both"/>
              <w:rPr>
                <w:rFonts w:ascii="Arial" w:hAnsi="Arial" w:cs="Arial"/>
                <w:sz w:val="20"/>
              </w:rPr>
            </w:pPr>
            <w:r>
              <w:rPr>
                <w:rFonts w:ascii="Arial" w:hAnsi="Arial" w:cs="Arial"/>
                <w:sz w:val="20"/>
              </w:rPr>
              <w:t>15700</w:t>
            </w:r>
          </w:p>
        </w:tc>
        <w:tc>
          <w:tcPr>
            <w:tcW w:w="510" w:type="pct"/>
            <w:vAlign w:val="center"/>
          </w:tcPr>
          <w:p w:rsidR="00390044" w:rsidRPr="00C5306B" w:rsidRDefault="00390044" w:rsidP="00EB45E8">
            <w:pPr>
              <w:pStyle w:val="AgriwatchTable"/>
              <w:jc w:val="both"/>
              <w:rPr>
                <w:rFonts w:ascii="Arial" w:hAnsi="Arial" w:cs="Arial"/>
                <w:b/>
                <w:color w:val="FF0000"/>
                <w:sz w:val="20"/>
              </w:rPr>
            </w:pPr>
            <w:r>
              <w:rPr>
                <w:rFonts w:ascii="Arial" w:hAnsi="Arial" w:cs="Arial"/>
                <w:b/>
                <w:color w:val="FF0000"/>
                <w:sz w:val="20"/>
              </w:rPr>
              <w:t>100</w:t>
            </w:r>
          </w:p>
        </w:tc>
      </w:tr>
      <w:tr w:rsidR="00390044" w:rsidRPr="00F9451D" w:rsidTr="00217FBE">
        <w:trPr>
          <w:trHeight w:val="57"/>
        </w:trPr>
        <w:tc>
          <w:tcPr>
            <w:tcW w:w="2478" w:type="pct"/>
            <w:noWrap/>
            <w:vAlign w:val="center"/>
            <w:hideMark/>
          </w:tcPr>
          <w:p w:rsidR="00390044" w:rsidRPr="00032AE6" w:rsidRDefault="00390044" w:rsidP="00EB45E8">
            <w:pPr>
              <w:pStyle w:val="AgriwatchTable"/>
              <w:jc w:val="both"/>
              <w:rPr>
                <w:rFonts w:ascii="Arial" w:hAnsi="Arial" w:cs="Arial"/>
                <w:sz w:val="20"/>
              </w:rPr>
            </w:pPr>
            <w:r w:rsidRPr="00032AE6">
              <w:rPr>
                <w:rFonts w:ascii="Arial" w:hAnsi="Arial" w:cs="Arial"/>
                <w:sz w:val="20"/>
              </w:rPr>
              <w:t>Basis 40% O&amp;A, Saurashtra</w:t>
            </w:r>
          </w:p>
        </w:tc>
        <w:tc>
          <w:tcPr>
            <w:tcW w:w="1175" w:type="pct"/>
            <w:noWrap/>
            <w:vAlign w:val="center"/>
            <w:hideMark/>
          </w:tcPr>
          <w:p w:rsidR="00390044" w:rsidRPr="00032AE6" w:rsidRDefault="00390044" w:rsidP="00EB45E8">
            <w:pPr>
              <w:pStyle w:val="AgriwatchTable"/>
              <w:jc w:val="both"/>
              <w:rPr>
                <w:rFonts w:ascii="Arial" w:hAnsi="Arial" w:cs="Arial"/>
                <w:sz w:val="20"/>
              </w:rPr>
            </w:pPr>
            <w:r>
              <w:rPr>
                <w:rFonts w:ascii="Arial" w:hAnsi="Arial" w:cs="Arial"/>
                <w:sz w:val="20"/>
              </w:rPr>
              <w:t>14800</w:t>
            </w:r>
          </w:p>
        </w:tc>
        <w:tc>
          <w:tcPr>
            <w:tcW w:w="838" w:type="pct"/>
            <w:vAlign w:val="center"/>
          </w:tcPr>
          <w:p w:rsidR="00390044" w:rsidRPr="00032AE6" w:rsidRDefault="00390044" w:rsidP="00EB45E8">
            <w:pPr>
              <w:pStyle w:val="AgriwatchTable"/>
              <w:jc w:val="both"/>
              <w:rPr>
                <w:rFonts w:ascii="Arial" w:hAnsi="Arial" w:cs="Arial"/>
                <w:sz w:val="20"/>
              </w:rPr>
            </w:pPr>
            <w:r>
              <w:rPr>
                <w:rFonts w:ascii="Arial" w:hAnsi="Arial" w:cs="Arial"/>
                <w:sz w:val="20"/>
              </w:rPr>
              <w:t>14800</w:t>
            </w:r>
          </w:p>
        </w:tc>
        <w:tc>
          <w:tcPr>
            <w:tcW w:w="510" w:type="pct"/>
            <w:vAlign w:val="center"/>
          </w:tcPr>
          <w:p w:rsidR="00390044" w:rsidRPr="004D3290" w:rsidRDefault="00390044" w:rsidP="00EB45E8">
            <w:pPr>
              <w:pStyle w:val="AgriwatchTable"/>
              <w:jc w:val="both"/>
              <w:rPr>
                <w:rFonts w:ascii="Arial" w:hAnsi="Arial" w:cs="Arial"/>
                <w:b/>
                <w:color w:val="548DD4" w:themeColor="text2" w:themeTint="99"/>
                <w:sz w:val="20"/>
              </w:rPr>
            </w:pPr>
            <w:r w:rsidRPr="004D3290">
              <w:rPr>
                <w:rFonts w:ascii="Arial" w:hAnsi="Arial" w:cs="Arial"/>
                <w:b/>
                <w:color w:val="548DD4" w:themeColor="text2" w:themeTint="99"/>
                <w:sz w:val="20"/>
              </w:rPr>
              <w:t>Unch</w:t>
            </w:r>
          </w:p>
        </w:tc>
      </w:tr>
      <w:tr w:rsidR="00390044" w:rsidRPr="00F9451D" w:rsidTr="00217FBE">
        <w:trPr>
          <w:trHeight w:val="300"/>
        </w:trPr>
        <w:tc>
          <w:tcPr>
            <w:tcW w:w="2478" w:type="pct"/>
            <w:noWrap/>
            <w:vAlign w:val="center"/>
          </w:tcPr>
          <w:p w:rsidR="00390044" w:rsidRPr="00032AE6" w:rsidRDefault="00390044" w:rsidP="00EB45E8">
            <w:pPr>
              <w:pStyle w:val="AgriwatchTable"/>
              <w:jc w:val="both"/>
              <w:rPr>
                <w:rFonts w:ascii="Arial" w:hAnsi="Arial" w:cs="Arial"/>
                <w:sz w:val="20"/>
              </w:rPr>
            </w:pPr>
            <w:r w:rsidRPr="00032AE6">
              <w:rPr>
                <w:rFonts w:ascii="Arial" w:hAnsi="Arial" w:cs="Arial"/>
                <w:sz w:val="20"/>
              </w:rPr>
              <w:t>GN Cake, Gondal</w:t>
            </w:r>
          </w:p>
        </w:tc>
        <w:tc>
          <w:tcPr>
            <w:tcW w:w="1175" w:type="pct"/>
            <w:noWrap/>
            <w:vAlign w:val="center"/>
          </w:tcPr>
          <w:p w:rsidR="00390044" w:rsidRPr="00032AE6" w:rsidRDefault="00390044" w:rsidP="00EB45E8">
            <w:pPr>
              <w:pStyle w:val="AgriwatchTable"/>
              <w:jc w:val="both"/>
              <w:rPr>
                <w:rFonts w:ascii="Arial" w:hAnsi="Arial" w:cs="Arial"/>
                <w:sz w:val="20"/>
              </w:rPr>
            </w:pPr>
            <w:r>
              <w:rPr>
                <w:rFonts w:ascii="Arial" w:hAnsi="Arial" w:cs="Arial"/>
                <w:sz w:val="20"/>
              </w:rPr>
              <w:t>16500-17000</w:t>
            </w:r>
          </w:p>
        </w:tc>
        <w:tc>
          <w:tcPr>
            <w:tcW w:w="838" w:type="pct"/>
            <w:vAlign w:val="center"/>
          </w:tcPr>
          <w:p w:rsidR="00390044" w:rsidRPr="00032AE6" w:rsidRDefault="00390044" w:rsidP="00EB45E8">
            <w:pPr>
              <w:pStyle w:val="AgriwatchTable"/>
              <w:jc w:val="both"/>
              <w:rPr>
                <w:rFonts w:ascii="Arial" w:hAnsi="Arial" w:cs="Arial"/>
                <w:sz w:val="20"/>
              </w:rPr>
            </w:pPr>
            <w:r>
              <w:rPr>
                <w:rFonts w:ascii="Arial" w:hAnsi="Arial" w:cs="Arial"/>
                <w:sz w:val="20"/>
              </w:rPr>
              <w:t>17200</w:t>
            </w:r>
          </w:p>
        </w:tc>
        <w:tc>
          <w:tcPr>
            <w:tcW w:w="510" w:type="pct"/>
          </w:tcPr>
          <w:p w:rsidR="00390044" w:rsidRPr="00C5306B" w:rsidRDefault="00390044" w:rsidP="00EB45E8">
            <w:pPr>
              <w:pStyle w:val="AgriwatchTable"/>
              <w:jc w:val="both"/>
              <w:rPr>
                <w:rFonts w:ascii="Arial" w:hAnsi="Arial" w:cs="Arial"/>
                <w:b/>
                <w:color w:val="FF0000"/>
                <w:sz w:val="20"/>
              </w:rPr>
            </w:pPr>
            <w:r>
              <w:rPr>
                <w:rFonts w:ascii="Arial" w:hAnsi="Arial" w:cs="Arial"/>
                <w:b/>
                <w:color w:val="FF0000"/>
                <w:sz w:val="20"/>
              </w:rPr>
              <w:t>200</w:t>
            </w:r>
          </w:p>
        </w:tc>
      </w:tr>
    </w:tbl>
    <w:p w:rsidR="008F33D9" w:rsidRDefault="008F33D9" w:rsidP="00EB45E8">
      <w:pPr>
        <w:jc w:val="both"/>
        <w:rPr>
          <w:rFonts w:ascii="Arial" w:hAnsi="Arial" w:cs="Arial"/>
          <w:b/>
          <w:sz w:val="24"/>
          <w:szCs w:val="24"/>
        </w:rPr>
      </w:pPr>
    </w:p>
    <w:p w:rsidR="00D25085" w:rsidRDefault="005D3E29" w:rsidP="00EB45E8">
      <w:pPr>
        <w:jc w:val="both"/>
        <w:rPr>
          <w:szCs w:val="24"/>
        </w:rPr>
      </w:pPr>
      <w:r w:rsidRPr="005D3E29">
        <w:rPr>
          <w:rFonts w:ascii="Arial" w:hAnsi="Arial" w:cs="Arial"/>
          <w:b/>
          <w:sz w:val="24"/>
          <w:szCs w:val="24"/>
        </w:rPr>
        <w:t>Soybean</w:t>
      </w:r>
    </w:p>
    <w:p w:rsidR="00491251" w:rsidRDefault="009C4A84" w:rsidP="00EB45E8">
      <w:pPr>
        <w:spacing w:after="0"/>
        <w:jc w:val="both"/>
        <w:rPr>
          <w:szCs w:val="24"/>
        </w:rPr>
      </w:pPr>
      <w:r>
        <w:rPr>
          <w:szCs w:val="24"/>
        </w:rPr>
        <w:t xml:space="preserve">Lean season in local soybean and slight gains in the soyoil demand </w:t>
      </w:r>
      <w:r w:rsidR="00DA029F">
        <w:rPr>
          <w:szCs w:val="24"/>
        </w:rPr>
        <w:t>at retail lent support to the soybean prices during the week.</w:t>
      </w:r>
    </w:p>
    <w:p w:rsidR="008D37C1" w:rsidRDefault="008D37C1" w:rsidP="00EB45E8">
      <w:pPr>
        <w:spacing w:after="0"/>
        <w:jc w:val="both"/>
        <w:rPr>
          <w:szCs w:val="24"/>
        </w:rPr>
      </w:pPr>
    </w:p>
    <w:p w:rsidR="00491251" w:rsidRDefault="008D37C1" w:rsidP="00EB45E8">
      <w:pPr>
        <w:spacing w:after="0"/>
        <w:jc w:val="both"/>
        <w:rPr>
          <w:szCs w:val="24"/>
        </w:rPr>
      </w:pPr>
      <w:r>
        <w:rPr>
          <w:szCs w:val="24"/>
        </w:rPr>
        <w:t xml:space="preserve">The </w:t>
      </w:r>
      <w:r w:rsidR="001D3147">
        <w:rPr>
          <w:szCs w:val="24"/>
        </w:rPr>
        <w:t xml:space="preserve">domestic soybean planting is due and it is expected to </w:t>
      </w:r>
      <w:r w:rsidR="00240703">
        <w:rPr>
          <w:szCs w:val="24"/>
        </w:rPr>
        <w:t xml:space="preserve">start </w:t>
      </w:r>
      <w:r w:rsidR="001D3147">
        <w:rPr>
          <w:szCs w:val="24"/>
        </w:rPr>
        <w:t xml:space="preserve">by second week of June </w:t>
      </w:r>
      <w:r w:rsidR="00563351">
        <w:rPr>
          <w:szCs w:val="24"/>
        </w:rPr>
        <w:t xml:space="preserve">depending upon the </w:t>
      </w:r>
      <w:r w:rsidR="00240703">
        <w:rPr>
          <w:szCs w:val="24"/>
        </w:rPr>
        <w:t xml:space="preserve">commencement of the monsoon. Indian </w:t>
      </w:r>
      <w:r w:rsidR="005F51BF">
        <w:rPr>
          <w:szCs w:val="24"/>
        </w:rPr>
        <w:t xml:space="preserve">Meteorological </w:t>
      </w:r>
      <w:r w:rsidR="00971B05">
        <w:rPr>
          <w:szCs w:val="24"/>
        </w:rPr>
        <w:t>Department (IMD)</w:t>
      </w:r>
      <w:r w:rsidR="00E51EBD">
        <w:rPr>
          <w:szCs w:val="24"/>
        </w:rPr>
        <w:t>has predicted the southwest monsoon over Kerala to hit on time by 31st May</w:t>
      </w:r>
      <w:r w:rsidR="00C90A02">
        <w:rPr>
          <w:szCs w:val="24"/>
        </w:rPr>
        <w:t>.</w:t>
      </w:r>
    </w:p>
    <w:p w:rsidR="0077003D" w:rsidRDefault="0077003D" w:rsidP="00EB45E8">
      <w:pPr>
        <w:spacing w:after="0"/>
        <w:jc w:val="both"/>
        <w:rPr>
          <w:szCs w:val="24"/>
        </w:rPr>
      </w:pPr>
    </w:p>
    <w:p w:rsidR="005D3E29" w:rsidRDefault="003D088E" w:rsidP="00EB45E8">
      <w:pPr>
        <w:spacing w:after="0"/>
        <w:jc w:val="both"/>
        <w:rPr>
          <w:szCs w:val="24"/>
        </w:rPr>
      </w:pPr>
      <w:r>
        <w:rPr>
          <w:szCs w:val="24"/>
        </w:rPr>
        <w:t xml:space="preserve">Indian </w:t>
      </w:r>
      <w:r w:rsidR="000A1E53">
        <w:rPr>
          <w:szCs w:val="24"/>
        </w:rPr>
        <w:t xml:space="preserve">soybean </w:t>
      </w:r>
      <w:r w:rsidR="00B902FF">
        <w:rPr>
          <w:szCs w:val="24"/>
        </w:rPr>
        <w:t xml:space="preserve">growers </w:t>
      </w:r>
      <w:r>
        <w:rPr>
          <w:szCs w:val="24"/>
        </w:rPr>
        <w:t xml:space="preserve">are </w:t>
      </w:r>
      <w:r w:rsidR="00377E99">
        <w:rPr>
          <w:szCs w:val="24"/>
        </w:rPr>
        <w:t xml:space="preserve">relieved </w:t>
      </w:r>
      <w:r w:rsidR="00FA0D38">
        <w:rPr>
          <w:szCs w:val="24"/>
        </w:rPr>
        <w:t xml:space="preserve">after </w:t>
      </w:r>
      <w:r w:rsidR="00620B8A" w:rsidRPr="00620B8A">
        <w:rPr>
          <w:szCs w:val="24"/>
        </w:rPr>
        <w:t xml:space="preserve">IMD’s 2011 south-west monsoon season (June to September) </w:t>
      </w:r>
      <w:r w:rsidR="005B15F5">
        <w:rPr>
          <w:szCs w:val="24"/>
        </w:rPr>
        <w:t xml:space="preserve">report </w:t>
      </w:r>
      <w:r w:rsidR="0085701F">
        <w:rPr>
          <w:szCs w:val="24"/>
        </w:rPr>
        <w:t xml:space="preserve">which </w:t>
      </w:r>
      <w:r w:rsidR="005B15F5">
        <w:rPr>
          <w:szCs w:val="24"/>
        </w:rPr>
        <w:t xml:space="preserve">predicted </w:t>
      </w:r>
      <w:r w:rsidR="00620B8A" w:rsidRPr="00620B8A">
        <w:rPr>
          <w:szCs w:val="24"/>
        </w:rPr>
        <w:t xml:space="preserve">the rainfall for the country as a whole to be </w:t>
      </w:r>
      <w:r w:rsidR="001477B8">
        <w:rPr>
          <w:szCs w:val="24"/>
        </w:rPr>
        <w:t>n</w:t>
      </w:r>
      <w:r w:rsidR="00620B8A" w:rsidRPr="00620B8A">
        <w:rPr>
          <w:szCs w:val="24"/>
        </w:rPr>
        <w:t xml:space="preserve">ormal </w:t>
      </w:r>
      <w:r w:rsidR="001477B8">
        <w:rPr>
          <w:szCs w:val="24"/>
        </w:rPr>
        <w:t>with 96-104% of Long Period Average</w:t>
      </w:r>
      <w:r w:rsidR="00620B8A" w:rsidRPr="00620B8A">
        <w:rPr>
          <w:szCs w:val="24"/>
        </w:rPr>
        <w:t>.</w:t>
      </w:r>
    </w:p>
    <w:p w:rsidR="006F09D1" w:rsidRDefault="006F09D1" w:rsidP="00EB45E8">
      <w:pPr>
        <w:spacing w:after="0"/>
        <w:jc w:val="both"/>
        <w:rPr>
          <w:szCs w:val="24"/>
        </w:rPr>
      </w:pPr>
    </w:p>
    <w:p w:rsidR="007C603D" w:rsidRDefault="00452C54" w:rsidP="00EB45E8">
      <w:pPr>
        <w:spacing w:after="0"/>
        <w:jc w:val="both"/>
        <w:rPr>
          <w:szCs w:val="24"/>
        </w:rPr>
      </w:pPr>
      <w:r>
        <w:rPr>
          <w:szCs w:val="24"/>
        </w:rPr>
        <w:t xml:space="preserve">However, it </w:t>
      </w:r>
      <w:r w:rsidR="006D2399">
        <w:rPr>
          <w:szCs w:val="24"/>
        </w:rPr>
        <w:t xml:space="preserve">is a bit </w:t>
      </w:r>
      <w:r w:rsidR="005179B3">
        <w:rPr>
          <w:szCs w:val="24"/>
        </w:rPr>
        <w:t xml:space="preserve">early </w:t>
      </w:r>
      <w:r w:rsidR="006D2399">
        <w:rPr>
          <w:szCs w:val="24"/>
        </w:rPr>
        <w:t>to comment</w:t>
      </w:r>
      <w:r>
        <w:rPr>
          <w:szCs w:val="24"/>
        </w:rPr>
        <w:t xml:space="preserve"> over the </w:t>
      </w:r>
      <w:r w:rsidR="00553B26">
        <w:rPr>
          <w:szCs w:val="24"/>
        </w:rPr>
        <w:t xml:space="preserve">soybean area but </w:t>
      </w:r>
      <w:r w:rsidR="006D2399">
        <w:rPr>
          <w:szCs w:val="24"/>
        </w:rPr>
        <w:t xml:space="preserve">the sowing intention of the domestic soybean farmers remain </w:t>
      </w:r>
      <w:r w:rsidR="0032356A">
        <w:rPr>
          <w:szCs w:val="24"/>
        </w:rPr>
        <w:t>intact</w:t>
      </w:r>
      <w:r w:rsidR="00F862F7">
        <w:rPr>
          <w:szCs w:val="24"/>
        </w:rPr>
        <w:t xml:space="preserve"> near last year’s </w:t>
      </w:r>
      <w:r w:rsidR="00376A9A">
        <w:rPr>
          <w:szCs w:val="24"/>
        </w:rPr>
        <w:t>acreage.</w:t>
      </w:r>
      <w:r w:rsidR="009E45B1">
        <w:rPr>
          <w:szCs w:val="24"/>
        </w:rPr>
        <w:t xml:space="preserve"> India</w:t>
      </w:r>
      <w:r w:rsidR="00E56ADC">
        <w:rPr>
          <w:szCs w:val="24"/>
        </w:rPr>
        <w:t xml:space="preserve">’s soybean coverage area in 2010 stood at 93.03 </w:t>
      </w:r>
      <w:r w:rsidR="00F10DA5">
        <w:rPr>
          <w:szCs w:val="24"/>
        </w:rPr>
        <w:t>lakh Hectares</w:t>
      </w:r>
      <w:r w:rsidR="00144013">
        <w:rPr>
          <w:szCs w:val="24"/>
        </w:rPr>
        <w:t xml:space="preserve"> (lha)</w:t>
      </w:r>
      <w:r w:rsidR="00767E3F">
        <w:rPr>
          <w:szCs w:val="24"/>
        </w:rPr>
        <w:t>.</w:t>
      </w:r>
      <w:r w:rsidR="00AB4832">
        <w:rPr>
          <w:szCs w:val="24"/>
        </w:rPr>
        <w:t>Nevertheless, monsoon plays a vital role in determining the crop size or the area under soybean.</w:t>
      </w:r>
    </w:p>
    <w:p w:rsidR="00BC4734" w:rsidRDefault="00BC4734" w:rsidP="00EB45E8">
      <w:pPr>
        <w:spacing w:after="0"/>
        <w:jc w:val="both"/>
        <w:rPr>
          <w:szCs w:val="24"/>
        </w:rPr>
      </w:pPr>
    </w:p>
    <w:p w:rsidR="00BC4734" w:rsidRPr="00BC4734" w:rsidRDefault="00BC4734" w:rsidP="00EB45E8">
      <w:pPr>
        <w:spacing w:after="0"/>
        <w:jc w:val="both"/>
        <w:rPr>
          <w:b/>
          <w:szCs w:val="24"/>
        </w:rPr>
      </w:pPr>
      <w:r w:rsidRPr="00BC4734">
        <w:rPr>
          <w:b/>
          <w:sz w:val="24"/>
          <w:szCs w:val="24"/>
        </w:rPr>
        <w:t>Sowing Intention</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367"/>
        <w:gridCol w:w="1874"/>
        <w:gridCol w:w="1886"/>
        <w:gridCol w:w="1163"/>
        <w:gridCol w:w="1989"/>
      </w:tblGrid>
      <w:tr w:rsidR="004B6040" w:rsidRPr="00F721D6" w:rsidTr="00023691">
        <w:trPr>
          <w:trHeight w:val="300"/>
        </w:trPr>
        <w:tc>
          <w:tcPr>
            <w:tcW w:w="900"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State</w:t>
            </w:r>
          </w:p>
        </w:tc>
        <w:tc>
          <w:tcPr>
            <w:tcW w:w="677"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Soybean Area 2010 (in Lakh Ha.)</w:t>
            </w:r>
          </w:p>
        </w:tc>
        <w:tc>
          <w:tcPr>
            <w:tcW w:w="928"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 xml:space="preserve">Sown Area by Farmers </w:t>
            </w:r>
            <w:r w:rsidR="00997D66">
              <w:rPr>
                <w:rFonts w:ascii="Calibri" w:eastAsia="Times New Roman" w:hAnsi="Calibri" w:cs="Times New Roman"/>
                <w:b/>
                <w:bCs/>
                <w:color w:val="000000"/>
              </w:rPr>
              <w:t xml:space="preserve">in </w:t>
            </w:r>
            <w:r w:rsidRPr="00F721D6">
              <w:rPr>
                <w:rFonts w:ascii="Calibri" w:eastAsia="Times New Roman" w:hAnsi="Calibri" w:cs="Times New Roman"/>
                <w:b/>
                <w:bCs/>
                <w:color w:val="000000"/>
              </w:rPr>
              <w:t>2010 (in Acres)</w:t>
            </w:r>
          </w:p>
        </w:tc>
        <w:tc>
          <w:tcPr>
            <w:tcW w:w="934"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 xml:space="preserve">Sowing Intention by Farmers </w:t>
            </w:r>
            <w:r w:rsidR="00997D66">
              <w:rPr>
                <w:rFonts w:ascii="Calibri" w:eastAsia="Times New Roman" w:hAnsi="Calibri" w:cs="Times New Roman"/>
                <w:b/>
                <w:bCs/>
                <w:color w:val="000000"/>
              </w:rPr>
              <w:t xml:space="preserve">for </w:t>
            </w:r>
            <w:r w:rsidRPr="00F721D6">
              <w:rPr>
                <w:rFonts w:ascii="Calibri" w:eastAsia="Times New Roman" w:hAnsi="Calibri" w:cs="Times New Roman"/>
                <w:b/>
                <w:bCs/>
                <w:color w:val="000000"/>
              </w:rPr>
              <w:t>2011 (in Acres)</w:t>
            </w:r>
          </w:p>
        </w:tc>
        <w:tc>
          <w:tcPr>
            <w:tcW w:w="576" w:type="pct"/>
            <w:shd w:val="clear" w:color="auto" w:fill="auto"/>
            <w:noWrap/>
            <w:vAlign w:val="center"/>
            <w:hideMark/>
          </w:tcPr>
          <w:p w:rsidR="00F721D6" w:rsidRPr="00F721D6" w:rsidRDefault="00F721D6" w:rsidP="00EB45E8">
            <w:pPr>
              <w:spacing w:after="0" w:line="240" w:lineRule="auto"/>
              <w:jc w:val="both"/>
              <w:rPr>
                <w:rFonts w:ascii="Calibri" w:eastAsia="Times New Roman" w:hAnsi="Calibri" w:cs="Times New Roman"/>
                <w:b/>
                <w:bCs/>
                <w:color w:val="000000"/>
              </w:rPr>
            </w:pPr>
            <w:r w:rsidRPr="00F721D6">
              <w:rPr>
                <w:rFonts w:ascii="Calibri" w:eastAsia="Times New Roman" w:hAnsi="Calibri" w:cs="Times New Roman"/>
                <w:b/>
                <w:bCs/>
                <w:color w:val="000000"/>
              </w:rPr>
              <w:t>%Change</w:t>
            </w:r>
          </w:p>
        </w:tc>
        <w:tc>
          <w:tcPr>
            <w:tcW w:w="985" w:type="pct"/>
            <w:shd w:val="clear" w:color="auto" w:fill="auto"/>
            <w:noWrap/>
            <w:vAlign w:val="center"/>
            <w:hideMark/>
          </w:tcPr>
          <w:p w:rsidR="00F721D6" w:rsidRPr="00F721D6" w:rsidRDefault="004B6040" w:rsidP="00EB45E8">
            <w:pPr>
              <w:spacing w:after="0" w:line="240" w:lineRule="auto"/>
              <w:jc w:val="both"/>
              <w:rPr>
                <w:rFonts w:ascii="Calibri" w:eastAsia="Times New Roman" w:hAnsi="Calibri" w:cs="Times New Roman"/>
                <w:b/>
                <w:bCs/>
                <w:color w:val="000000"/>
              </w:rPr>
            </w:pPr>
            <w:r>
              <w:rPr>
                <w:rFonts w:ascii="Calibri" w:eastAsia="Times New Roman" w:hAnsi="Calibri" w:cs="Times New Roman"/>
                <w:b/>
                <w:bCs/>
                <w:color w:val="000000"/>
              </w:rPr>
              <w:t xml:space="preserve">Expected Sowing </w:t>
            </w:r>
            <w:r w:rsidR="00023691">
              <w:rPr>
                <w:rFonts w:ascii="Calibri" w:eastAsia="Times New Roman" w:hAnsi="Calibri" w:cs="Times New Roman"/>
                <w:b/>
                <w:bCs/>
                <w:color w:val="000000"/>
              </w:rPr>
              <w:t>Area</w:t>
            </w:r>
            <w:r>
              <w:rPr>
                <w:rFonts w:ascii="Calibri" w:eastAsia="Times New Roman" w:hAnsi="Calibri" w:cs="Times New Roman"/>
                <w:b/>
                <w:bCs/>
                <w:color w:val="000000"/>
              </w:rPr>
              <w:t xml:space="preserve"> for 2011 (Lakh H</w:t>
            </w:r>
            <w:r w:rsidR="00023691">
              <w:rPr>
                <w:rFonts w:ascii="Calibri" w:eastAsia="Times New Roman" w:hAnsi="Calibri" w:cs="Times New Roman"/>
                <w:b/>
                <w:bCs/>
                <w:color w:val="000000"/>
              </w:rPr>
              <w:t>a.</w:t>
            </w:r>
            <w:r>
              <w:rPr>
                <w:rFonts w:ascii="Calibri" w:eastAsia="Times New Roman" w:hAnsi="Calibri" w:cs="Times New Roman"/>
                <w:b/>
                <w:bCs/>
                <w:color w:val="000000"/>
              </w:rPr>
              <w:t>)</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Madhya Pradesh</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55.19</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42.3</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42.5</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B050"/>
              </w:rPr>
            </w:pPr>
            <w:r w:rsidRPr="00F721D6">
              <w:rPr>
                <w:rFonts w:ascii="Calibri" w:eastAsia="Times New Roman" w:hAnsi="Calibri" w:cs="Times New Roman"/>
                <w:color w:val="00B050"/>
              </w:rPr>
              <w:t>0.47%</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55.5</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Maharashtra</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26.03</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8</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9.6</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B050"/>
              </w:rPr>
            </w:pPr>
            <w:r w:rsidRPr="00F721D6">
              <w:rPr>
                <w:rFonts w:ascii="Calibri" w:eastAsia="Times New Roman" w:hAnsi="Calibri" w:cs="Times New Roman"/>
                <w:color w:val="00B050"/>
              </w:rPr>
              <w:t>20.00%</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31.2</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Rajasthan</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6.92</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10</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9.2</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FF0000"/>
              </w:rPr>
            </w:pPr>
            <w:r w:rsidRPr="00F721D6">
              <w:rPr>
                <w:rFonts w:ascii="Calibri" w:eastAsia="Times New Roman" w:hAnsi="Calibri" w:cs="Times New Roman"/>
                <w:color w:val="FF0000"/>
              </w:rPr>
              <w:t>-8.00%</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color w:val="000000"/>
              </w:rPr>
            </w:pPr>
            <w:r w:rsidRPr="00F721D6">
              <w:rPr>
                <w:rFonts w:ascii="Calibri" w:eastAsia="Times New Roman" w:hAnsi="Calibri" w:cs="Times New Roman"/>
                <w:color w:val="000000"/>
              </w:rPr>
              <w:t>6.4</w:t>
            </w:r>
          </w:p>
        </w:tc>
      </w:tr>
      <w:tr w:rsidR="004B6040" w:rsidRPr="00F721D6" w:rsidTr="00023691">
        <w:trPr>
          <w:trHeight w:val="300"/>
        </w:trPr>
        <w:tc>
          <w:tcPr>
            <w:tcW w:w="900"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Total</w:t>
            </w:r>
          </w:p>
        </w:tc>
        <w:tc>
          <w:tcPr>
            <w:tcW w:w="677"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88.14</w:t>
            </w:r>
          </w:p>
        </w:tc>
        <w:tc>
          <w:tcPr>
            <w:tcW w:w="928"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60.3</w:t>
            </w:r>
          </w:p>
        </w:tc>
        <w:tc>
          <w:tcPr>
            <w:tcW w:w="934"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61.3</w:t>
            </w:r>
          </w:p>
        </w:tc>
        <w:tc>
          <w:tcPr>
            <w:tcW w:w="576"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B050"/>
              </w:rPr>
            </w:pPr>
            <w:r w:rsidRPr="00F721D6">
              <w:rPr>
                <w:rFonts w:ascii="Calibri" w:eastAsia="Times New Roman" w:hAnsi="Calibri" w:cs="Times New Roman"/>
                <w:b/>
                <w:color w:val="00B050"/>
              </w:rPr>
              <w:t>5.57%</w:t>
            </w:r>
          </w:p>
        </w:tc>
        <w:tc>
          <w:tcPr>
            <w:tcW w:w="985" w:type="pct"/>
            <w:shd w:val="clear" w:color="auto" w:fill="auto"/>
            <w:noWrap/>
            <w:vAlign w:val="bottom"/>
            <w:hideMark/>
          </w:tcPr>
          <w:p w:rsidR="00F721D6" w:rsidRPr="00F721D6" w:rsidRDefault="00F721D6" w:rsidP="00EB45E8">
            <w:pPr>
              <w:spacing w:after="0" w:line="240" w:lineRule="auto"/>
              <w:jc w:val="both"/>
              <w:rPr>
                <w:rFonts w:ascii="Calibri" w:eastAsia="Times New Roman" w:hAnsi="Calibri" w:cs="Times New Roman"/>
                <w:b/>
                <w:color w:val="000000"/>
              </w:rPr>
            </w:pPr>
            <w:r w:rsidRPr="00F721D6">
              <w:rPr>
                <w:rFonts w:ascii="Calibri" w:eastAsia="Times New Roman" w:hAnsi="Calibri" w:cs="Times New Roman"/>
                <w:b/>
                <w:color w:val="000000"/>
              </w:rPr>
              <w:t>93.1</w:t>
            </w:r>
          </w:p>
        </w:tc>
      </w:tr>
      <w:tr w:rsidR="001C74AE" w:rsidRPr="00F721D6" w:rsidTr="00023691">
        <w:trPr>
          <w:trHeight w:val="300"/>
        </w:trPr>
        <w:tc>
          <w:tcPr>
            <w:tcW w:w="5000" w:type="pct"/>
            <w:gridSpan w:val="6"/>
            <w:shd w:val="clear" w:color="auto" w:fill="auto"/>
            <w:noWrap/>
            <w:vAlign w:val="center"/>
            <w:hideMark/>
          </w:tcPr>
          <w:p w:rsidR="001C74AE" w:rsidRDefault="001C74AE" w:rsidP="00EB45E8">
            <w:pPr>
              <w:spacing w:after="0" w:line="240" w:lineRule="auto"/>
              <w:jc w:val="both"/>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Methodology – Average of 8-10 farmers interviewed to fetch sowing intention in every states</w:t>
            </w:r>
          </w:p>
          <w:p w:rsidR="00023691" w:rsidRPr="001C74AE" w:rsidRDefault="00023691" w:rsidP="00EB45E8">
            <w:pPr>
              <w:spacing w:after="0" w:line="240" w:lineRule="auto"/>
              <w:jc w:val="both"/>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Expected sowing Area based on farmers information</w:t>
            </w:r>
          </w:p>
        </w:tc>
      </w:tr>
    </w:tbl>
    <w:p w:rsidR="000D7F24" w:rsidRPr="00135213" w:rsidRDefault="00135213" w:rsidP="00EB45E8">
      <w:pPr>
        <w:spacing w:after="0"/>
        <w:ind w:left="7920" w:firstLine="720"/>
        <w:jc w:val="both"/>
        <w:rPr>
          <w:sz w:val="18"/>
          <w:szCs w:val="24"/>
        </w:rPr>
      </w:pPr>
      <w:r w:rsidRPr="00135213">
        <w:rPr>
          <w:sz w:val="18"/>
          <w:szCs w:val="24"/>
        </w:rPr>
        <w:t>Source: Agriwatch</w:t>
      </w:r>
    </w:p>
    <w:p w:rsidR="000D7F24" w:rsidRDefault="000D7F24" w:rsidP="00EB45E8">
      <w:pPr>
        <w:spacing w:after="0"/>
        <w:jc w:val="both"/>
        <w:rPr>
          <w:szCs w:val="24"/>
        </w:rPr>
      </w:pPr>
    </w:p>
    <w:p w:rsidR="00CA36C3" w:rsidRDefault="00973749" w:rsidP="00CA36C3">
      <w:pPr>
        <w:spacing w:after="0"/>
        <w:jc w:val="both"/>
        <w:rPr>
          <w:szCs w:val="24"/>
        </w:rPr>
      </w:pPr>
      <w:r w:rsidRPr="00973749">
        <w:rPr>
          <w:szCs w:val="24"/>
        </w:rPr>
        <w:t xml:space="preserve">Interview with the farmers in Maharastra reveal the area under soybean in Maharashtra is </w:t>
      </w:r>
      <w:r w:rsidR="00022EA8">
        <w:rPr>
          <w:szCs w:val="24"/>
        </w:rPr>
        <w:t xml:space="preserve">likely to increase </w:t>
      </w:r>
      <w:r w:rsidRPr="00973749">
        <w:rPr>
          <w:szCs w:val="24"/>
        </w:rPr>
        <w:t xml:space="preserve">this season. Area coverage under soybean in Maharashtra stood at 26.03 lakh </w:t>
      </w:r>
      <w:r w:rsidR="00467A64" w:rsidRPr="00973749">
        <w:rPr>
          <w:szCs w:val="24"/>
        </w:rPr>
        <w:t>h</w:t>
      </w:r>
      <w:r w:rsidR="00467A64">
        <w:rPr>
          <w:szCs w:val="24"/>
        </w:rPr>
        <w:t>e</w:t>
      </w:r>
      <w:r w:rsidR="00467A64" w:rsidRPr="00973749">
        <w:rPr>
          <w:szCs w:val="24"/>
        </w:rPr>
        <w:t xml:space="preserve">ctares </w:t>
      </w:r>
      <w:r w:rsidRPr="00973749">
        <w:rPr>
          <w:szCs w:val="24"/>
        </w:rPr>
        <w:t xml:space="preserve">in 2010. </w:t>
      </w:r>
      <w:r w:rsidR="00CA36C3" w:rsidRPr="00973749">
        <w:rPr>
          <w:szCs w:val="24"/>
        </w:rPr>
        <w:t xml:space="preserve">The sowing </w:t>
      </w:r>
      <w:r w:rsidR="00CA36C3">
        <w:rPr>
          <w:szCs w:val="24"/>
        </w:rPr>
        <w:t xml:space="preserve">in Maharashtra </w:t>
      </w:r>
      <w:r w:rsidR="00CA36C3" w:rsidRPr="00973749">
        <w:rPr>
          <w:szCs w:val="24"/>
        </w:rPr>
        <w:t>is expected to begin in by second week of June after a couple of rain spell.</w:t>
      </w:r>
    </w:p>
    <w:p w:rsidR="00973749" w:rsidRPr="00973749" w:rsidRDefault="00973749" w:rsidP="00EB45E8">
      <w:pPr>
        <w:spacing w:after="0"/>
        <w:jc w:val="both"/>
        <w:rPr>
          <w:szCs w:val="24"/>
        </w:rPr>
      </w:pPr>
    </w:p>
    <w:p w:rsidR="00973749" w:rsidRPr="00973749" w:rsidRDefault="00973749" w:rsidP="00EB45E8">
      <w:pPr>
        <w:spacing w:after="0"/>
        <w:jc w:val="both"/>
        <w:rPr>
          <w:szCs w:val="24"/>
        </w:rPr>
      </w:pPr>
      <w:r w:rsidRPr="00973749">
        <w:rPr>
          <w:szCs w:val="24"/>
        </w:rPr>
        <w:t xml:space="preserve">Unconfirmed sources were </w:t>
      </w:r>
      <w:r w:rsidR="00467A64">
        <w:rPr>
          <w:szCs w:val="24"/>
        </w:rPr>
        <w:t>of the</w:t>
      </w:r>
      <w:r w:rsidR="00940D75">
        <w:rPr>
          <w:szCs w:val="24"/>
        </w:rPr>
        <w:t xml:space="preserve"> </w:t>
      </w:r>
      <w:r w:rsidRPr="00973749">
        <w:rPr>
          <w:szCs w:val="24"/>
        </w:rPr>
        <w:t>view that the soybean area in the state may shift towards cotton crop due to better prices in cotton last year. However, farmers feel the cost of cotton cultivation is higher compared to soybean and tur could be easily intercropped with soybean adding advantage in realization to soybean farmer.</w:t>
      </w:r>
    </w:p>
    <w:p w:rsidR="00973749" w:rsidRPr="00973749" w:rsidRDefault="00973749" w:rsidP="00EB45E8">
      <w:pPr>
        <w:spacing w:after="0"/>
        <w:jc w:val="both"/>
        <w:rPr>
          <w:szCs w:val="24"/>
        </w:rPr>
      </w:pPr>
    </w:p>
    <w:p w:rsidR="00973749" w:rsidRPr="00973749" w:rsidRDefault="00973749" w:rsidP="00EB45E8">
      <w:pPr>
        <w:spacing w:after="0"/>
        <w:jc w:val="both"/>
        <w:rPr>
          <w:szCs w:val="24"/>
        </w:rPr>
      </w:pPr>
      <w:r w:rsidRPr="00973749">
        <w:rPr>
          <w:szCs w:val="24"/>
        </w:rPr>
        <w:lastRenderedPageBreak/>
        <w:t xml:space="preserve">Besides, there is shortage of labour in Maharashtra too like in </w:t>
      </w:r>
      <w:r w:rsidR="00467A64">
        <w:rPr>
          <w:szCs w:val="24"/>
        </w:rPr>
        <w:t>several</w:t>
      </w:r>
      <w:r w:rsidR="00EF2C22">
        <w:rPr>
          <w:szCs w:val="24"/>
        </w:rPr>
        <w:t xml:space="preserve"> </w:t>
      </w:r>
      <w:r w:rsidRPr="00973749">
        <w:rPr>
          <w:szCs w:val="24"/>
        </w:rPr>
        <w:t>other states and more labour is required in cotton cultivation compared to soybeans.</w:t>
      </w:r>
    </w:p>
    <w:p w:rsidR="00451A1F" w:rsidRDefault="00451A1F" w:rsidP="00EB45E8">
      <w:pPr>
        <w:spacing w:after="0"/>
        <w:jc w:val="both"/>
        <w:rPr>
          <w:szCs w:val="24"/>
        </w:rPr>
      </w:pPr>
    </w:p>
    <w:p w:rsidR="00FE7B04" w:rsidRDefault="00FE7B04" w:rsidP="00EB45E8">
      <w:pPr>
        <w:spacing w:after="0"/>
        <w:jc w:val="both"/>
        <w:rPr>
          <w:szCs w:val="24"/>
        </w:rPr>
      </w:pPr>
    </w:p>
    <w:p w:rsidR="00FE7B04" w:rsidRDefault="00E14244" w:rsidP="00EB45E8">
      <w:pPr>
        <w:spacing w:after="0"/>
        <w:jc w:val="both"/>
        <w:rPr>
          <w:szCs w:val="24"/>
        </w:rPr>
      </w:pPr>
      <w:r>
        <w:rPr>
          <w:szCs w:val="24"/>
        </w:rPr>
        <w:t xml:space="preserve">The </w:t>
      </w:r>
      <w:r w:rsidR="00DD3A6A">
        <w:rPr>
          <w:szCs w:val="24"/>
        </w:rPr>
        <w:t xml:space="preserve">soybean </w:t>
      </w:r>
      <w:r>
        <w:rPr>
          <w:szCs w:val="24"/>
        </w:rPr>
        <w:t xml:space="preserve">area is unlikely to fall </w:t>
      </w:r>
      <w:r w:rsidR="00327393">
        <w:rPr>
          <w:szCs w:val="24"/>
        </w:rPr>
        <w:t xml:space="preserve">in the </w:t>
      </w:r>
      <w:r w:rsidR="00FE7B04">
        <w:rPr>
          <w:szCs w:val="24"/>
        </w:rPr>
        <w:t>Madhya Pradesh</w:t>
      </w:r>
      <w:r w:rsidR="00327393">
        <w:rPr>
          <w:szCs w:val="24"/>
        </w:rPr>
        <w:t>, the largest soybean grower</w:t>
      </w:r>
      <w:r w:rsidR="00D17032">
        <w:rPr>
          <w:szCs w:val="24"/>
        </w:rPr>
        <w:t xml:space="preserve">. </w:t>
      </w:r>
      <w:r w:rsidR="00B80DDB">
        <w:rPr>
          <w:szCs w:val="24"/>
        </w:rPr>
        <w:t xml:space="preserve">Given the </w:t>
      </w:r>
      <w:r w:rsidR="00C6264F">
        <w:rPr>
          <w:szCs w:val="24"/>
        </w:rPr>
        <w:t xml:space="preserve">weather and soil conditions the </w:t>
      </w:r>
      <w:r w:rsidR="003D4F88">
        <w:rPr>
          <w:szCs w:val="24"/>
        </w:rPr>
        <w:t xml:space="preserve">farmers </w:t>
      </w:r>
      <w:r w:rsidR="005E791D">
        <w:rPr>
          <w:szCs w:val="24"/>
        </w:rPr>
        <w:t xml:space="preserve">in Madhya Pradesh </w:t>
      </w:r>
      <w:r w:rsidR="00C6264F">
        <w:rPr>
          <w:szCs w:val="24"/>
        </w:rPr>
        <w:t>are left without any other option of crop cultivation</w:t>
      </w:r>
      <w:r w:rsidR="003D4F88">
        <w:rPr>
          <w:szCs w:val="24"/>
        </w:rPr>
        <w:t>.</w:t>
      </w:r>
      <w:r w:rsidR="00113E5B">
        <w:rPr>
          <w:szCs w:val="24"/>
        </w:rPr>
        <w:t>He</w:t>
      </w:r>
      <w:r w:rsidR="004E755B">
        <w:rPr>
          <w:szCs w:val="24"/>
        </w:rPr>
        <w:t xml:space="preserve">nce, </w:t>
      </w:r>
      <w:r w:rsidR="004069FF">
        <w:rPr>
          <w:szCs w:val="24"/>
        </w:rPr>
        <w:t xml:space="preserve">there is no </w:t>
      </w:r>
      <w:r w:rsidR="004E755B">
        <w:rPr>
          <w:szCs w:val="24"/>
        </w:rPr>
        <w:t xml:space="preserve">scope of </w:t>
      </w:r>
      <w:r w:rsidR="004069FF">
        <w:rPr>
          <w:szCs w:val="24"/>
        </w:rPr>
        <w:t xml:space="preserve">area shift in </w:t>
      </w:r>
      <w:r w:rsidR="004E755B">
        <w:rPr>
          <w:szCs w:val="24"/>
        </w:rPr>
        <w:t>any other crop in the state.</w:t>
      </w:r>
    </w:p>
    <w:p w:rsidR="004E755B" w:rsidRDefault="004E755B" w:rsidP="00EB45E8">
      <w:pPr>
        <w:spacing w:after="0"/>
        <w:jc w:val="both"/>
        <w:rPr>
          <w:szCs w:val="24"/>
        </w:rPr>
      </w:pPr>
    </w:p>
    <w:p w:rsidR="004069FF" w:rsidRDefault="009B0311" w:rsidP="00EB45E8">
      <w:pPr>
        <w:spacing w:after="0"/>
        <w:jc w:val="both"/>
        <w:rPr>
          <w:szCs w:val="24"/>
        </w:rPr>
      </w:pPr>
      <w:r>
        <w:rPr>
          <w:szCs w:val="24"/>
        </w:rPr>
        <w:t xml:space="preserve">The situation </w:t>
      </w:r>
      <w:r w:rsidR="005D2DF1">
        <w:rPr>
          <w:szCs w:val="24"/>
        </w:rPr>
        <w:t xml:space="preserve">in Rajasthan </w:t>
      </w:r>
      <w:r w:rsidR="00BA0A32">
        <w:rPr>
          <w:szCs w:val="24"/>
        </w:rPr>
        <w:t>seems a bit different</w:t>
      </w:r>
      <w:r w:rsidR="006509D9">
        <w:rPr>
          <w:szCs w:val="24"/>
        </w:rPr>
        <w:t xml:space="preserve">. </w:t>
      </w:r>
      <w:r w:rsidR="00217FBE">
        <w:rPr>
          <w:szCs w:val="24"/>
        </w:rPr>
        <w:t>I</w:t>
      </w:r>
      <w:r w:rsidR="006509D9">
        <w:rPr>
          <w:szCs w:val="24"/>
        </w:rPr>
        <w:t>n the soybean area in the state</w:t>
      </w:r>
      <w:r w:rsidR="00217FBE">
        <w:rPr>
          <w:szCs w:val="24"/>
        </w:rPr>
        <w:t>, maize</w:t>
      </w:r>
      <w:r w:rsidR="001746B6">
        <w:rPr>
          <w:szCs w:val="24"/>
        </w:rPr>
        <w:t xml:space="preserve"> </w:t>
      </w:r>
      <w:r w:rsidR="006509D9">
        <w:rPr>
          <w:szCs w:val="24"/>
        </w:rPr>
        <w:t>could</w:t>
      </w:r>
      <w:r w:rsidR="001746B6">
        <w:rPr>
          <w:szCs w:val="24"/>
        </w:rPr>
        <w:t xml:space="preserve"> </w:t>
      </w:r>
      <w:r w:rsidR="00217FBE">
        <w:rPr>
          <w:szCs w:val="24"/>
        </w:rPr>
        <w:t xml:space="preserve">also </w:t>
      </w:r>
      <w:r w:rsidR="006509D9">
        <w:rPr>
          <w:szCs w:val="24"/>
        </w:rPr>
        <w:t xml:space="preserve">easily be grown </w:t>
      </w:r>
      <w:r w:rsidR="005B7D20">
        <w:rPr>
          <w:szCs w:val="24"/>
        </w:rPr>
        <w:t xml:space="preserve">and the realization in </w:t>
      </w:r>
      <w:r w:rsidR="00217FBE">
        <w:rPr>
          <w:szCs w:val="24"/>
        </w:rPr>
        <w:t>maize</w:t>
      </w:r>
      <w:r w:rsidR="005B7D20">
        <w:rPr>
          <w:szCs w:val="24"/>
        </w:rPr>
        <w:t xml:space="preserve"> was better in </w:t>
      </w:r>
      <w:r w:rsidR="00217FBE">
        <w:rPr>
          <w:szCs w:val="24"/>
        </w:rPr>
        <w:t xml:space="preserve">previous </w:t>
      </w:r>
      <w:r w:rsidR="005B7D20">
        <w:rPr>
          <w:szCs w:val="24"/>
        </w:rPr>
        <w:t xml:space="preserve">seasons. </w:t>
      </w:r>
      <w:r w:rsidR="00FD013F">
        <w:rPr>
          <w:szCs w:val="24"/>
        </w:rPr>
        <w:t xml:space="preserve">Hence, several farmers in the soybean growing </w:t>
      </w:r>
      <w:r w:rsidR="00EF1611">
        <w:rPr>
          <w:szCs w:val="24"/>
        </w:rPr>
        <w:t xml:space="preserve">area of Rajasthan </w:t>
      </w:r>
      <w:r w:rsidR="00621E42">
        <w:rPr>
          <w:szCs w:val="24"/>
        </w:rPr>
        <w:t xml:space="preserve">are </w:t>
      </w:r>
      <w:r w:rsidR="00E949B7">
        <w:rPr>
          <w:szCs w:val="24"/>
        </w:rPr>
        <w:t>expected to shift their soybean area in maize</w:t>
      </w:r>
      <w:r w:rsidR="003E0261">
        <w:rPr>
          <w:szCs w:val="24"/>
        </w:rPr>
        <w:t xml:space="preserve">. </w:t>
      </w:r>
      <w:r w:rsidR="0057181E">
        <w:rPr>
          <w:szCs w:val="24"/>
        </w:rPr>
        <w:t xml:space="preserve">Besides, </w:t>
      </w:r>
      <w:r w:rsidR="00217FBE">
        <w:rPr>
          <w:szCs w:val="24"/>
        </w:rPr>
        <w:t>some destruction and lowering of yields</w:t>
      </w:r>
      <w:r w:rsidR="007B471D">
        <w:rPr>
          <w:szCs w:val="24"/>
        </w:rPr>
        <w:t xml:space="preserve"> </w:t>
      </w:r>
      <w:r w:rsidR="009C0B83">
        <w:rPr>
          <w:szCs w:val="24"/>
        </w:rPr>
        <w:t xml:space="preserve">in </w:t>
      </w:r>
      <w:r w:rsidR="0057181E">
        <w:rPr>
          <w:szCs w:val="24"/>
        </w:rPr>
        <w:t>s</w:t>
      </w:r>
      <w:r w:rsidR="00621E42">
        <w:rPr>
          <w:szCs w:val="24"/>
        </w:rPr>
        <w:t xml:space="preserve">oybean crop </w:t>
      </w:r>
      <w:r w:rsidR="00164D4E">
        <w:rPr>
          <w:szCs w:val="24"/>
        </w:rPr>
        <w:t xml:space="preserve">in </w:t>
      </w:r>
      <w:r w:rsidR="00D82989">
        <w:rPr>
          <w:szCs w:val="24"/>
        </w:rPr>
        <w:t xml:space="preserve">previous season due to </w:t>
      </w:r>
      <w:r w:rsidR="00B427D4">
        <w:rPr>
          <w:szCs w:val="24"/>
        </w:rPr>
        <w:t xml:space="preserve">scanty </w:t>
      </w:r>
      <w:r w:rsidR="00D82989">
        <w:rPr>
          <w:szCs w:val="24"/>
        </w:rPr>
        <w:t>rainfall</w:t>
      </w:r>
      <w:r w:rsidR="00876089">
        <w:rPr>
          <w:szCs w:val="24"/>
        </w:rPr>
        <w:t xml:space="preserve"> </w:t>
      </w:r>
      <w:r w:rsidR="00217FBE">
        <w:rPr>
          <w:szCs w:val="24"/>
        </w:rPr>
        <w:t xml:space="preserve">may discourage </w:t>
      </w:r>
      <w:r w:rsidR="0000766F">
        <w:rPr>
          <w:szCs w:val="24"/>
        </w:rPr>
        <w:t>some soybean farmers in Rajasthan.</w:t>
      </w:r>
      <w:r w:rsidR="00673F82">
        <w:rPr>
          <w:szCs w:val="24"/>
        </w:rPr>
        <w:t>A slight decline in the soybean area could be noticed in the state.</w:t>
      </w:r>
    </w:p>
    <w:p w:rsidR="00092306" w:rsidRDefault="00092306" w:rsidP="00EB45E8">
      <w:pPr>
        <w:spacing w:after="0"/>
        <w:jc w:val="both"/>
        <w:rPr>
          <w:szCs w:val="24"/>
        </w:rPr>
      </w:pPr>
    </w:p>
    <w:p w:rsidR="00092306" w:rsidRPr="003665BF" w:rsidRDefault="003665BF" w:rsidP="00EB45E8">
      <w:pPr>
        <w:jc w:val="both"/>
        <w:rPr>
          <w:rFonts w:ascii="Arial" w:hAnsi="Arial" w:cs="Arial"/>
          <w:b/>
          <w:sz w:val="24"/>
          <w:szCs w:val="24"/>
        </w:rPr>
      </w:pPr>
      <w:r w:rsidRPr="003665BF">
        <w:rPr>
          <w:rFonts w:ascii="Arial" w:hAnsi="Arial" w:cs="Arial"/>
          <w:b/>
          <w:sz w:val="24"/>
          <w:szCs w:val="24"/>
        </w:rPr>
        <w:t>Soybean Crush Margin</w:t>
      </w:r>
    </w:p>
    <w:p w:rsidR="004E755B" w:rsidRDefault="00940688" w:rsidP="00EB45E8">
      <w:pPr>
        <w:spacing w:after="0"/>
        <w:jc w:val="both"/>
        <w:rPr>
          <w:szCs w:val="24"/>
        </w:rPr>
      </w:pPr>
      <w:r>
        <w:rPr>
          <w:noProof/>
          <w:szCs w:val="24"/>
        </w:rPr>
        <w:pict>
          <v:shapetype id="_x0000_t202" coordsize="21600,21600" o:spt="202" path="m,l,21600r21600,l21600,xe">
            <v:stroke joinstyle="miter"/>
            <v:path gradientshapeok="t" o:connecttype="rect"/>
          </v:shapetype>
          <v:shape id="_x0000_s1026" type="#_x0000_t202" style="position:absolute;left:0;text-align:left;margin-left:16.5pt;margin-top:1.85pt;width:419.25pt;height:246pt;z-index:251658240" strokecolor="#92d050" strokeweight="2.25pt">
            <v:textbox>
              <w:txbxContent>
                <w:p w:rsidR="00217FBE" w:rsidRDefault="00217FBE" w:rsidP="00964D3C">
                  <w:pPr>
                    <w:jc w:val="center"/>
                  </w:pPr>
                  <w:r w:rsidRPr="00964D3C">
                    <w:rPr>
                      <w:noProof/>
                    </w:rPr>
                    <w:drawing>
                      <wp:inline distT="0" distB="0" distL="0" distR="0">
                        <wp:extent cx="5000626" cy="2952750"/>
                        <wp:effectExtent l="19050" t="0" r="285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p>
    <w:p w:rsidR="006F09D1" w:rsidRDefault="006F09D1" w:rsidP="00EB45E8">
      <w:pPr>
        <w:spacing w:after="0"/>
        <w:jc w:val="both"/>
        <w:rPr>
          <w:szCs w:val="24"/>
        </w:rPr>
      </w:pPr>
    </w:p>
    <w:p w:rsidR="00EE5505" w:rsidRDefault="00EE5505" w:rsidP="00EB45E8">
      <w:pPr>
        <w:jc w:val="both"/>
        <w:rPr>
          <w:szCs w:val="24"/>
        </w:rPr>
      </w:pPr>
    </w:p>
    <w:p w:rsidR="00D07E6B" w:rsidRDefault="00D07E6B" w:rsidP="00EB45E8">
      <w:pPr>
        <w:jc w:val="both"/>
        <w:rPr>
          <w:szCs w:val="24"/>
        </w:rPr>
      </w:pPr>
    </w:p>
    <w:p w:rsidR="006E6564" w:rsidRDefault="006E6564" w:rsidP="00EB45E8">
      <w:pPr>
        <w:jc w:val="both"/>
        <w:rPr>
          <w:szCs w:val="24"/>
        </w:rPr>
      </w:pPr>
    </w:p>
    <w:p w:rsidR="0073477C" w:rsidRDefault="0073477C" w:rsidP="00EB45E8">
      <w:pPr>
        <w:jc w:val="both"/>
        <w:rPr>
          <w:szCs w:val="24"/>
        </w:rPr>
      </w:pPr>
    </w:p>
    <w:p w:rsidR="00964D3C" w:rsidRDefault="00964D3C" w:rsidP="00EB45E8">
      <w:pPr>
        <w:jc w:val="both"/>
        <w:rPr>
          <w:szCs w:val="24"/>
        </w:rPr>
      </w:pPr>
    </w:p>
    <w:p w:rsidR="00964D3C" w:rsidRPr="00964D3C" w:rsidRDefault="00964D3C" w:rsidP="00EB45E8">
      <w:pPr>
        <w:jc w:val="both"/>
        <w:rPr>
          <w:szCs w:val="24"/>
        </w:rPr>
      </w:pPr>
    </w:p>
    <w:p w:rsidR="00964D3C" w:rsidRPr="00964D3C" w:rsidRDefault="00964D3C" w:rsidP="00EB45E8">
      <w:pPr>
        <w:jc w:val="both"/>
        <w:rPr>
          <w:szCs w:val="24"/>
        </w:rPr>
      </w:pPr>
    </w:p>
    <w:p w:rsidR="00964D3C" w:rsidRDefault="00964D3C" w:rsidP="00EB45E8">
      <w:pPr>
        <w:jc w:val="both"/>
        <w:rPr>
          <w:szCs w:val="24"/>
        </w:rPr>
      </w:pPr>
    </w:p>
    <w:p w:rsidR="00964D3C" w:rsidRDefault="00964D3C" w:rsidP="00EB45E8">
      <w:pPr>
        <w:jc w:val="both"/>
        <w:rPr>
          <w:szCs w:val="24"/>
        </w:rPr>
      </w:pPr>
    </w:p>
    <w:p w:rsidR="00964D3C" w:rsidRDefault="00964D3C" w:rsidP="00EB45E8">
      <w:pPr>
        <w:jc w:val="both"/>
        <w:rPr>
          <w:szCs w:val="24"/>
        </w:rPr>
      </w:pPr>
    </w:p>
    <w:p w:rsidR="0030280C" w:rsidRDefault="00D32C95" w:rsidP="00EB45E8">
      <w:pPr>
        <w:jc w:val="both"/>
        <w:rPr>
          <w:szCs w:val="24"/>
        </w:rPr>
      </w:pPr>
      <w:r w:rsidRPr="00D32C95">
        <w:rPr>
          <w:szCs w:val="24"/>
        </w:rPr>
        <w:t xml:space="preserve">The domestic </w:t>
      </w:r>
      <w:r w:rsidR="006651D0">
        <w:rPr>
          <w:szCs w:val="24"/>
        </w:rPr>
        <w:t xml:space="preserve">soybean </w:t>
      </w:r>
      <w:r w:rsidRPr="00D32C95">
        <w:rPr>
          <w:szCs w:val="24"/>
        </w:rPr>
        <w:t xml:space="preserve">crush margin is still in negative </w:t>
      </w:r>
      <w:r>
        <w:rPr>
          <w:szCs w:val="24"/>
        </w:rPr>
        <w:t xml:space="preserve">zone </w:t>
      </w:r>
      <w:r w:rsidR="007063AA">
        <w:rPr>
          <w:szCs w:val="24"/>
        </w:rPr>
        <w:t>(</w:t>
      </w:r>
      <w:r w:rsidR="00B54416">
        <w:rPr>
          <w:sz w:val="24"/>
          <w:szCs w:val="24"/>
        </w:rPr>
        <w:t>T</w:t>
      </w:r>
      <w:r w:rsidR="0026392E">
        <w:rPr>
          <w:sz w:val="24"/>
          <w:szCs w:val="24"/>
        </w:rPr>
        <w:t>he average weekly crush margin stands negative at Rs-146/MT</w:t>
      </w:r>
      <w:r w:rsidR="007063AA">
        <w:rPr>
          <w:szCs w:val="24"/>
        </w:rPr>
        <w:t xml:space="preserve">) </w:t>
      </w:r>
      <w:r w:rsidRPr="00D32C95">
        <w:rPr>
          <w:szCs w:val="24"/>
        </w:rPr>
        <w:t>due to weak exports in soy meal.</w:t>
      </w:r>
      <w:r w:rsidR="008C12A8">
        <w:rPr>
          <w:szCs w:val="24"/>
        </w:rPr>
        <w:t xml:space="preserve">This is due to demand shift owing to competitive price offer in soy meal by South America. </w:t>
      </w:r>
    </w:p>
    <w:p w:rsidR="00964525" w:rsidRPr="00B775E4" w:rsidRDefault="001251AF" w:rsidP="00EB45E8">
      <w:pPr>
        <w:jc w:val="both"/>
        <w:rPr>
          <w:szCs w:val="24"/>
        </w:rPr>
      </w:pPr>
      <w:r w:rsidRPr="00B775E4">
        <w:rPr>
          <w:szCs w:val="24"/>
        </w:rPr>
        <w:t xml:space="preserve">Improving soybean crush margin towards positive zone </w:t>
      </w:r>
      <w:r w:rsidR="00886809" w:rsidRPr="00B775E4">
        <w:rPr>
          <w:szCs w:val="24"/>
        </w:rPr>
        <w:t>encouraged the soybean crushers in crushing the seed which subsequently increased the soybean buying</w:t>
      </w:r>
      <w:r w:rsidR="00C965B3" w:rsidRPr="00B775E4">
        <w:rPr>
          <w:szCs w:val="24"/>
        </w:rPr>
        <w:t xml:space="preserve"> last week</w:t>
      </w:r>
      <w:r w:rsidR="00582360" w:rsidRPr="00B775E4">
        <w:rPr>
          <w:szCs w:val="24"/>
        </w:rPr>
        <w:t xml:space="preserve"> which consequently increased the soy meal, soybean and soyoil prices domestically</w:t>
      </w:r>
      <w:r w:rsidR="00C965B3" w:rsidRPr="00B775E4">
        <w:rPr>
          <w:szCs w:val="24"/>
        </w:rPr>
        <w:t>.</w:t>
      </w:r>
      <w:r w:rsidR="00886809" w:rsidRPr="00B775E4">
        <w:rPr>
          <w:szCs w:val="24"/>
        </w:rPr>
        <w:t xml:space="preserve"> </w:t>
      </w:r>
      <w:r w:rsidR="00582360" w:rsidRPr="00B775E4">
        <w:rPr>
          <w:szCs w:val="24"/>
        </w:rPr>
        <w:t xml:space="preserve">However, if </w:t>
      </w:r>
      <w:r w:rsidR="00B775E4" w:rsidRPr="00B775E4">
        <w:rPr>
          <w:szCs w:val="24"/>
        </w:rPr>
        <w:t xml:space="preserve">the weekly </w:t>
      </w:r>
      <w:r w:rsidR="00582360" w:rsidRPr="00B775E4">
        <w:rPr>
          <w:szCs w:val="24"/>
        </w:rPr>
        <w:t xml:space="preserve">prices </w:t>
      </w:r>
      <w:r w:rsidR="00A60C09" w:rsidRPr="00B775E4">
        <w:rPr>
          <w:szCs w:val="24"/>
        </w:rPr>
        <w:t xml:space="preserve">rise as projected later the crush margin </w:t>
      </w:r>
      <w:r w:rsidR="00A60C09" w:rsidRPr="00B775E4">
        <w:rPr>
          <w:szCs w:val="24"/>
        </w:rPr>
        <w:lastRenderedPageBreak/>
        <w:t xml:space="preserve">will again widen in negative zone. This will </w:t>
      </w:r>
      <w:r w:rsidR="00B775E4" w:rsidRPr="00B775E4">
        <w:rPr>
          <w:szCs w:val="24"/>
        </w:rPr>
        <w:t>further discourage the soybean crushers from buying and crushing the beans.</w:t>
      </w:r>
    </w:p>
    <w:p w:rsidR="003F0885" w:rsidRDefault="004E16C2" w:rsidP="00EB45E8">
      <w:pPr>
        <w:jc w:val="both"/>
        <w:rPr>
          <w:rFonts w:ascii="Arial" w:hAnsi="Arial" w:cs="Arial"/>
          <w:b/>
          <w:sz w:val="24"/>
          <w:szCs w:val="24"/>
        </w:rPr>
      </w:pPr>
      <w:r w:rsidRPr="004E16C2">
        <w:rPr>
          <w:rFonts w:ascii="Arial" w:hAnsi="Arial" w:cs="Arial"/>
          <w:b/>
          <w:sz w:val="24"/>
          <w:szCs w:val="24"/>
        </w:rPr>
        <w:t xml:space="preserve">Soymeal </w:t>
      </w:r>
    </w:p>
    <w:p w:rsidR="00806F94" w:rsidRDefault="00952DAE" w:rsidP="00EB45E8">
      <w:pPr>
        <w:jc w:val="both"/>
        <w:rPr>
          <w:szCs w:val="24"/>
        </w:rPr>
      </w:pPr>
      <w:r w:rsidRPr="00952DAE">
        <w:rPr>
          <w:szCs w:val="24"/>
        </w:rPr>
        <w:t xml:space="preserve">As </w:t>
      </w:r>
      <w:r>
        <w:rPr>
          <w:szCs w:val="24"/>
        </w:rPr>
        <w:t xml:space="preserve">discussed earlier the oversea demand in Indian soy meal is hit due to </w:t>
      </w:r>
      <w:r w:rsidR="00217FBE">
        <w:rPr>
          <w:szCs w:val="24"/>
        </w:rPr>
        <w:t xml:space="preserve">the </w:t>
      </w:r>
      <w:r>
        <w:rPr>
          <w:szCs w:val="24"/>
        </w:rPr>
        <w:t xml:space="preserve">attractive price </w:t>
      </w:r>
      <w:r w:rsidR="00217FBE">
        <w:rPr>
          <w:szCs w:val="24"/>
        </w:rPr>
        <w:t>from</w:t>
      </w:r>
      <w:r>
        <w:rPr>
          <w:szCs w:val="24"/>
        </w:rPr>
        <w:t xml:space="preserve"> South America</w:t>
      </w:r>
      <w:r w:rsidR="00217FBE">
        <w:rPr>
          <w:szCs w:val="24"/>
        </w:rPr>
        <w:t>in its</w:t>
      </w:r>
      <w:r w:rsidR="00B40153">
        <w:rPr>
          <w:szCs w:val="24"/>
        </w:rPr>
        <w:t xml:space="preserve"> peak season.</w:t>
      </w:r>
      <w:r w:rsidR="005952F0">
        <w:rPr>
          <w:szCs w:val="24"/>
        </w:rPr>
        <w:t xml:space="preserve"> </w:t>
      </w:r>
      <w:r w:rsidR="00DF0E6C">
        <w:rPr>
          <w:szCs w:val="24"/>
        </w:rPr>
        <w:t xml:space="preserve">Argentina and Brazil are aggressively marketing their meal owing to improved crushing in the seed followed by </w:t>
      </w:r>
      <w:r w:rsidR="003E0F03">
        <w:rPr>
          <w:szCs w:val="24"/>
        </w:rPr>
        <w:t xml:space="preserve">huge </w:t>
      </w:r>
      <w:r w:rsidR="00DF0E6C">
        <w:rPr>
          <w:szCs w:val="24"/>
        </w:rPr>
        <w:t xml:space="preserve">supplies in </w:t>
      </w:r>
      <w:r w:rsidR="003E0F03">
        <w:rPr>
          <w:szCs w:val="24"/>
        </w:rPr>
        <w:t xml:space="preserve">the </w:t>
      </w:r>
      <w:r w:rsidR="00DF0E6C">
        <w:rPr>
          <w:szCs w:val="24"/>
        </w:rPr>
        <w:t xml:space="preserve">new </w:t>
      </w:r>
      <w:r w:rsidR="006E1E37">
        <w:rPr>
          <w:szCs w:val="24"/>
        </w:rPr>
        <w:t xml:space="preserve">soy </w:t>
      </w:r>
      <w:r w:rsidR="00DF0E6C">
        <w:rPr>
          <w:szCs w:val="24"/>
        </w:rPr>
        <w:t>crop.</w:t>
      </w:r>
      <w:r w:rsidR="00F47059">
        <w:rPr>
          <w:szCs w:val="24"/>
        </w:rPr>
        <w:t xml:space="preserve"> Currently, India is unsuccessful in competing with the soy meal prices offered by South America.</w:t>
      </w:r>
    </w:p>
    <w:p w:rsidR="00453A4F" w:rsidRDefault="00940688" w:rsidP="00EB45E8">
      <w:pPr>
        <w:spacing w:after="0"/>
        <w:jc w:val="both"/>
        <w:rPr>
          <w:b/>
          <w:sz w:val="24"/>
          <w:szCs w:val="24"/>
        </w:rPr>
      </w:pPr>
      <w:r>
        <w:rPr>
          <w:b/>
          <w:noProof/>
          <w:sz w:val="24"/>
          <w:szCs w:val="24"/>
        </w:rPr>
        <w:pict>
          <v:shape id="_x0000_s1027" type="#_x0000_t202" style="position:absolute;left:0;text-align:left;margin-left:33.75pt;margin-top:23.1pt;width:391.5pt;height:228.75pt;z-index:251659264" strokecolor="#92d050" strokeweight="2.25pt">
            <v:textbox>
              <w:txbxContent>
                <w:p w:rsidR="00217FBE" w:rsidRDefault="00217FBE" w:rsidP="00831C3D">
                  <w:pPr>
                    <w:jc w:val="center"/>
                  </w:pPr>
                  <w:r w:rsidRPr="00831C3D">
                    <w:rPr>
                      <w:noProof/>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714803" w:rsidRPr="00714803">
        <w:rPr>
          <w:b/>
          <w:sz w:val="24"/>
          <w:szCs w:val="24"/>
        </w:rPr>
        <w:t>Soy meal Spread – India vs Argentina</w:t>
      </w: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453A4F" w:rsidRDefault="00453A4F" w:rsidP="00EB45E8">
      <w:pPr>
        <w:jc w:val="both"/>
        <w:rPr>
          <w:sz w:val="24"/>
          <w:szCs w:val="24"/>
        </w:rPr>
      </w:pPr>
    </w:p>
    <w:p w:rsidR="00453A4F" w:rsidRPr="00F47059" w:rsidRDefault="00F47059" w:rsidP="00EB45E8">
      <w:pPr>
        <w:ind w:left="5040" w:firstLine="720"/>
        <w:jc w:val="both"/>
        <w:rPr>
          <w:sz w:val="20"/>
          <w:szCs w:val="24"/>
        </w:rPr>
      </w:pPr>
      <w:r w:rsidRPr="00F47059">
        <w:rPr>
          <w:sz w:val="20"/>
          <w:szCs w:val="24"/>
        </w:rPr>
        <w:t>*FAS, Kandla less FOB Argentina</w:t>
      </w:r>
    </w:p>
    <w:p w:rsidR="00714803" w:rsidRDefault="0067183D" w:rsidP="00EB45E8">
      <w:pPr>
        <w:jc w:val="both"/>
        <w:rPr>
          <w:sz w:val="24"/>
          <w:szCs w:val="24"/>
        </w:rPr>
      </w:pPr>
      <w:r>
        <w:rPr>
          <w:sz w:val="24"/>
          <w:szCs w:val="24"/>
        </w:rPr>
        <w:t>The soy meal spread trend (FAS, Kandla – FOB Argentina)</w:t>
      </w:r>
      <w:r w:rsidR="001B3A30">
        <w:rPr>
          <w:sz w:val="24"/>
          <w:szCs w:val="24"/>
        </w:rPr>
        <w:t xml:space="preserve"> between India and Argentina </w:t>
      </w:r>
      <w:r w:rsidR="007C0C65">
        <w:rPr>
          <w:sz w:val="24"/>
          <w:szCs w:val="24"/>
        </w:rPr>
        <w:t>reveals, Indian soy meal prices are higher compared to Argentina. (FAS: Free Alongside Ship. FOB: Freight on Board)</w:t>
      </w:r>
      <w:r w:rsidR="00F34CF8">
        <w:rPr>
          <w:sz w:val="24"/>
          <w:szCs w:val="24"/>
        </w:rPr>
        <w:t xml:space="preserve">. </w:t>
      </w:r>
    </w:p>
    <w:p w:rsidR="003D5A84" w:rsidRDefault="00C00717" w:rsidP="00EB45E8">
      <w:pPr>
        <w:jc w:val="both"/>
        <w:rPr>
          <w:sz w:val="24"/>
          <w:szCs w:val="24"/>
        </w:rPr>
      </w:pPr>
      <w:r>
        <w:rPr>
          <w:sz w:val="24"/>
          <w:szCs w:val="24"/>
        </w:rPr>
        <w:t>Currently, Indian meal prices are higher by about US $30/MT</w:t>
      </w:r>
      <w:r w:rsidR="007D63D4">
        <w:rPr>
          <w:sz w:val="24"/>
          <w:szCs w:val="24"/>
        </w:rPr>
        <w:t xml:space="preserve"> (WklyAvg Price)</w:t>
      </w:r>
      <w:r>
        <w:rPr>
          <w:sz w:val="24"/>
          <w:szCs w:val="24"/>
        </w:rPr>
        <w:t>, FAS – basis Kandla Port vs FOB Argentina.</w:t>
      </w:r>
    </w:p>
    <w:p w:rsidR="00835819" w:rsidRDefault="00183000" w:rsidP="00EB45E8">
      <w:pPr>
        <w:jc w:val="both"/>
        <w:rPr>
          <w:sz w:val="24"/>
          <w:szCs w:val="24"/>
        </w:rPr>
      </w:pPr>
      <w:r>
        <w:rPr>
          <w:sz w:val="24"/>
          <w:szCs w:val="24"/>
        </w:rPr>
        <w:t>Even the soy meal prices of US are attractive compared with Indian meal prices. Currently, US soy meal prices are lower by US $20/MT</w:t>
      </w:r>
      <w:r w:rsidR="00990B60">
        <w:rPr>
          <w:sz w:val="24"/>
          <w:szCs w:val="24"/>
        </w:rPr>
        <w:t>, (WklyAvg Price)</w:t>
      </w:r>
      <w:r>
        <w:rPr>
          <w:sz w:val="24"/>
          <w:szCs w:val="24"/>
        </w:rPr>
        <w:t xml:space="preserve">. </w:t>
      </w:r>
      <w:r w:rsidR="00EB45E8">
        <w:rPr>
          <w:sz w:val="24"/>
          <w:szCs w:val="24"/>
        </w:rPr>
        <w:t xml:space="preserve">In US the corn area is likely </w:t>
      </w:r>
      <w:r w:rsidR="00534A1C">
        <w:rPr>
          <w:sz w:val="24"/>
          <w:szCs w:val="24"/>
        </w:rPr>
        <w:t>to shift in soybean. This is due to the delayed plantings in corn which will subsequently exert pressure on US soy meal prices.</w:t>
      </w:r>
    </w:p>
    <w:p w:rsidR="00183000" w:rsidRDefault="00835819" w:rsidP="00EB45E8">
      <w:pPr>
        <w:jc w:val="both"/>
        <w:rPr>
          <w:sz w:val="24"/>
          <w:szCs w:val="24"/>
        </w:rPr>
      </w:pPr>
      <w:r>
        <w:rPr>
          <w:sz w:val="24"/>
          <w:szCs w:val="24"/>
        </w:rPr>
        <w:t>However, India is unlikely to compete with the prevailing soy meal prices in South America or even with US in a near-term.</w:t>
      </w:r>
    </w:p>
    <w:p w:rsidR="00A128DA" w:rsidRDefault="00A128DA" w:rsidP="00EB45E8">
      <w:pPr>
        <w:jc w:val="both"/>
        <w:rPr>
          <w:b/>
          <w:noProof/>
          <w:sz w:val="24"/>
          <w:szCs w:val="24"/>
        </w:rPr>
      </w:pPr>
    </w:p>
    <w:p w:rsidR="00871660" w:rsidRPr="00231653" w:rsidRDefault="00231653" w:rsidP="00EB45E8">
      <w:pPr>
        <w:jc w:val="both"/>
        <w:rPr>
          <w:b/>
          <w:noProof/>
          <w:sz w:val="24"/>
          <w:szCs w:val="24"/>
        </w:rPr>
      </w:pPr>
      <w:r w:rsidRPr="00231653">
        <w:rPr>
          <w:b/>
          <w:noProof/>
          <w:sz w:val="24"/>
          <w:szCs w:val="24"/>
        </w:rPr>
        <w:lastRenderedPageBreak/>
        <w:t>Price Projection and Crush Margin</w:t>
      </w:r>
    </w:p>
    <w:tbl>
      <w:tblPr>
        <w:tblW w:w="5760" w:type="dxa"/>
        <w:jc w:val="center"/>
        <w:tblLook w:val="04A0"/>
      </w:tblPr>
      <w:tblGrid>
        <w:gridCol w:w="1745"/>
        <w:gridCol w:w="2170"/>
        <w:gridCol w:w="1845"/>
      </w:tblGrid>
      <w:tr w:rsidR="00BB5159" w:rsidRPr="00BB5159" w:rsidTr="00657223">
        <w:trPr>
          <w:trHeight w:val="300"/>
          <w:jc w:val="center"/>
        </w:trPr>
        <w:tc>
          <w:tcPr>
            <w:tcW w:w="57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b/>
                <w:bCs/>
                <w:color w:val="000000"/>
              </w:rPr>
            </w:pPr>
            <w:r w:rsidRPr="00BB5159">
              <w:rPr>
                <w:rFonts w:ascii="Calibri" w:eastAsia="Times New Roman" w:hAnsi="Calibri" w:cs="Times New Roman"/>
                <w:b/>
                <w:bCs/>
                <w:color w:val="000000"/>
              </w:rPr>
              <w:t>Expectations for 23rd May - 28 May 2011</w:t>
            </w: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b/>
                <w:bCs/>
                <w:color w:val="000000"/>
              </w:rPr>
            </w:pPr>
            <w:r w:rsidRPr="00BB5159">
              <w:rPr>
                <w:rFonts w:ascii="Calibri" w:eastAsia="Times New Roman" w:hAnsi="Calibri" w:cs="Times New Roman"/>
                <w:b/>
                <w:bCs/>
                <w:color w:val="000000"/>
              </w:rPr>
              <w:t>Commodity</w:t>
            </w:r>
          </w:p>
        </w:tc>
        <w:tc>
          <w:tcPr>
            <w:tcW w:w="2170"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b/>
                <w:bCs/>
                <w:color w:val="000000"/>
              </w:rPr>
            </w:pPr>
            <w:r w:rsidRPr="00BB5159">
              <w:rPr>
                <w:rFonts w:ascii="Calibri" w:eastAsia="Times New Roman" w:hAnsi="Calibri" w:cs="Times New Roman"/>
                <w:b/>
                <w:bCs/>
                <w:color w:val="000000"/>
              </w:rPr>
              <w:t>Price Range</w:t>
            </w:r>
            <w:r w:rsidR="00D50F46">
              <w:rPr>
                <w:rFonts w:ascii="Calibri" w:eastAsia="Times New Roman" w:hAnsi="Calibri" w:cs="Times New Roman"/>
                <w:b/>
                <w:bCs/>
                <w:color w:val="000000"/>
              </w:rPr>
              <w:t xml:space="preserve"> (Rs/MT)</w:t>
            </w:r>
          </w:p>
        </w:tc>
        <w:tc>
          <w:tcPr>
            <w:tcW w:w="1845"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b/>
                <w:bCs/>
                <w:color w:val="000000"/>
              </w:rPr>
            </w:pPr>
            <w:r w:rsidRPr="00BB5159">
              <w:rPr>
                <w:rFonts w:ascii="Calibri" w:eastAsia="Times New Roman" w:hAnsi="Calibri" w:cs="Times New Roman"/>
                <w:b/>
                <w:bCs/>
                <w:color w:val="000000"/>
              </w:rPr>
              <w:t xml:space="preserve"> Crush Margin</w:t>
            </w: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color w:val="000000"/>
              </w:rPr>
            </w:pPr>
            <w:r w:rsidRPr="00BB5159">
              <w:rPr>
                <w:rFonts w:ascii="Calibri" w:eastAsia="Times New Roman" w:hAnsi="Calibri" w:cs="Times New Roman"/>
                <w:color w:val="000000"/>
              </w:rPr>
              <w:t>Soybean</w:t>
            </w:r>
          </w:p>
        </w:tc>
        <w:tc>
          <w:tcPr>
            <w:tcW w:w="2170"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24200-24300</w:t>
            </w:r>
          </w:p>
        </w:tc>
        <w:tc>
          <w:tcPr>
            <w:tcW w:w="18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-566</w:t>
            </w: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color w:val="000000"/>
              </w:rPr>
            </w:pPr>
            <w:r w:rsidRPr="00BB5159">
              <w:rPr>
                <w:rFonts w:ascii="Calibri" w:eastAsia="Times New Roman" w:hAnsi="Calibri" w:cs="Times New Roman"/>
                <w:color w:val="000000"/>
              </w:rPr>
              <w:t>Soy Meal</w:t>
            </w:r>
          </w:p>
        </w:tc>
        <w:tc>
          <w:tcPr>
            <w:tcW w:w="2170" w:type="dxa"/>
            <w:tcBorders>
              <w:top w:val="nil"/>
              <w:left w:val="nil"/>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17100-17250</w:t>
            </w:r>
          </w:p>
        </w:tc>
        <w:tc>
          <w:tcPr>
            <w:tcW w:w="1845" w:type="dxa"/>
            <w:vMerge/>
            <w:tcBorders>
              <w:top w:val="nil"/>
              <w:left w:val="single" w:sz="4" w:space="0" w:color="auto"/>
              <w:bottom w:val="single" w:sz="4" w:space="0" w:color="auto"/>
              <w:right w:val="single" w:sz="4" w:space="0" w:color="auto"/>
            </w:tcBorders>
            <w:vAlign w:val="center"/>
            <w:hideMark/>
          </w:tcPr>
          <w:p w:rsidR="00BB5159" w:rsidRPr="00BB5159" w:rsidRDefault="00BB5159" w:rsidP="00BB5159">
            <w:pPr>
              <w:spacing w:after="0" w:line="240" w:lineRule="auto"/>
              <w:rPr>
                <w:rFonts w:ascii="Calibri" w:eastAsia="Times New Roman" w:hAnsi="Calibri" w:cs="Times New Roman"/>
                <w:color w:val="000000"/>
              </w:rPr>
            </w:pPr>
          </w:p>
        </w:tc>
      </w:tr>
      <w:tr w:rsidR="00BB5159" w:rsidRPr="00BB5159" w:rsidTr="00D50F46">
        <w:trPr>
          <w:trHeight w:val="300"/>
          <w:jc w:val="center"/>
        </w:trPr>
        <w:tc>
          <w:tcPr>
            <w:tcW w:w="1745" w:type="dxa"/>
            <w:tcBorders>
              <w:top w:val="nil"/>
              <w:left w:val="single" w:sz="4" w:space="0" w:color="auto"/>
              <w:bottom w:val="single" w:sz="4" w:space="0" w:color="auto"/>
              <w:right w:val="single" w:sz="4" w:space="0" w:color="auto"/>
            </w:tcBorders>
            <w:shd w:val="clear" w:color="auto" w:fill="auto"/>
            <w:noWrap/>
            <w:vAlign w:val="center"/>
            <w:hideMark/>
          </w:tcPr>
          <w:p w:rsidR="00BB5159" w:rsidRPr="00BB5159" w:rsidRDefault="00BB5159" w:rsidP="00BB5159">
            <w:pPr>
              <w:spacing w:after="0" w:line="240" w:lineRule="auto"/>
              <w:rPr>
                <w:rFonts w:ascii="Calibri" w:eastAsia="Times New Roman" w:hAnsi="Calibri" w:cs="Times New Roman"/>
                <w:color w:val="000000"/>
              </w:rPr>
            </w:pPr>
            <w:r w:rsidRPr="00BB5159">
              <w:rPr>
                <w:rFonts w:ascii="Calibri" w:eastAsia="Times New Roman" w:hAnsi="Calibri" w:cs="Times New Roman"/>
                <w:color w:val="000000"/>
              </w:rPr>
              <w:t>Soy Oil</w:t>
            </w:r>
          </w:p>
        </w:tc>
        <w:tc>
          <w:tcPr>
            <w:tcW w:w="2170" w:type="dxa"/>
            <w:tcBorders>
              <w:top w:val="nil"/>
              <w:left w:val="nil"/>
              <w:bottom w:val="single" w:sz="4" w:space="0" w:color="auto"/>
              <w:right w:val="single" w:sz="4" w:space="0" w:color="auto"/>
            </w:tcBorders>
            <w:shd w:val="clear" w:color="auto" w:fill="auto"/>
            <w:noWrap/>
            <w:vAlign w:val="bottom"/>
            <w:hideMark/>
          </w:tcPr>
          <w:p w:rsidR="00BB5159" w:rsidRPr="00BB5159" w:rsidRDefault="00BB5159" w:rsidP="00BB5159">
            <w:pPr>
              <w:spacing w:after="0" w:line="240" w:lineRule="auto"/>
              <w:jc w:val="center"/>
              <w:rPr>
                <w:rFonts w:ascii="Calibri" w:eastAsia="Times New Roman" w:hAnsi="Calibri" w:cs="Times New Roman"/>
                <w:color w:val="000000"/>
              </w:rPr>
            </w:pPr>
            <w:r w:rsidRPr="00BB5159">
              <w:rPr>
                <w:rFonts w:ascii="Calibri" w:eastAsia="Times New Roman" w:hAnsi="Calibri" w:cs="Times New Roman"/>
                <w:color w:val="000000"/>
              </w:rPr>
              <w:t>61000-61300</w:t>
            </w:r>
          </w:p>
        </w:tc>
        <w:tc>
          <w:tcPr>
            <w:tcW w:w="1845" w:type="dxa"/>
            <w:vMerge/>
            <w:tcBorders>
              <w:top w:val="nil"/>
              <w:left w:val="single" w:sz="4" w:space="0" w:color="auto"/>
              <w:bottom w:val="single" w:sz="4" w:space="0" w:color="auto"/>
              <w:right w:val="single" w:sz="4" w:space="0" w:color="auto"/>
            </w:tcBorders>
            <w:vAlign w:val="center"/>
            <w:hideMark/>
          </w:tcPr>
          <w:p w:rsidR="00BB5159" w:rsidRPr="00BB5159" w:rsidRDefault="00BB5159" w:rsidP="00BB5159">
            <w:pPr>
              <w:spacing w:after="0" w:line="240" w:lineRule="auto"/>
              <w:rPr>
                <w:rFonts w:ascii="Calibri" w:eastAsia="Times New Roman" w:hAnsi="Calibri" w:cs="Times New Roman"/>
                <w:color w:val="000000"/>
              </w:rPr>
            </w:pPr>
          </w:p>
        </w:tc>
      </w:tr>
    </w:tbl>
    <w:p w:rsidR="00BB5159" w:rsidRPr="00BB5159" w:rsidRDefault="00BB5159" w:rsidP="00BB5159">
      <w:pPr>
        <w:ind w:left="5040" w:firstLine="720"/>
        <w:jc w:val="both"/>
        <w:rPr>
          <w:sz w:val="20"/>
          <w:szCs w:val="24"/>
        </w:rPr>
      </w:pPr>
      <w:r w:rsidRPr="00BB5159">
        <w:rPr>
          <w:sz w:val="20"/>
          <w:szCs w:val="24"/>
        </w:rPr>
        <w:t xml:space="preserve">*Using price analysis tools  </w:t>
      </w:r>
    </w:p>
    <w:p w:rsidR="004037A2" w:rsidRDefault="00551D9F" w:rsidP="00EB45E8">
      <w:pPr>
        <w:jc w:val="both"/>
        <w:rPr>
          <w:sz w:val="24"/>
          <w:szCs w:val="24"/>
        </w:rPr>
      </w:pPr>
      <w:r>
        <w:rPr>
          <w:sz w:val="24"/>
          <w:szCs w:val="24"/>
        </w:rPr>
        <w:t>Technically, t</w:t>
      </w:r>
      <w:r w:rsidR="00B90909">
        <w:rPr>
          <w:sz w:val="24"/>
          <w:szCs w:val="24"/>
        </w:rPr>
        <w:t xml:space="preserve">he soybean </w:t>
      </w:r>
      <w:r w:rsidR="00180F51">
        <w:rPr>
          <w:sz w:val="24"/>
          <w:szCs w:val="24"/>
        </w:rPr>
        <w:t>and soy meal prices are likely to move slightly higher from its current levels during the week</w:t>
      </w:r>
      <w:r w:rsidR="001554F0">
        <w:rPr>
          <w:sz w:val="24"/>
          <w:szCs w:val="24"/>
        </w:rPr>
        <w:t>.</w:t>
      </w:r>
      <w:r w:rsidR="00B74BEF">
        <w:rPr>
          <w:sz w:val="24"/>
          <w:szCs w:val="24"/>
        </w:rPr>
        <w:t xml:space="preserve"> </w:t>
      </w:r>
      <w:r w:rsidR="00722B78">
        <w:rPr>
          <w:sz w:val="24"/>
          <w:szCs w:val="24"/>
        </w:rPr>
        <w:t xml:space="preserve">However, if the prices gain in the proportion indicated above the soybean </w:t>
      </w:r>
      <w:r w:rsidR="00D814F2">
        <w:rPr>
          <w:sz w:val="24"/>
          <w:szCs w:val="24"/>
        </w:rPr>
        <w:t xml:space="preserve">crush margin will widen in negative zone. </w:t>
      </w:r>
      <w:r w:rsidR="00D00579">
        <w:rPr>
          <w:sz w:val="24"/>
          <w:szCs w:val="24"/>
        </w:rPr>
        <w:t xml:space="preserve">This will </w:t>
      </w:r>
      <w:r w:rsidR="005F0334">
        <w:rPr>
          <w:sz w:val="24"/>
          <w:szCs w:val="24"/>
        </w:rPr>
        <w:t xml:space="preserve">consequently </w:t>
      </w:r>
      <w:r w:rsidR="00D00579">
        <w:rPr>
          <w:sz w:val="24"/>
          <w:szCs w:val="24"/>
        </w:rPr>
        <w:t xml:space="preserve">discourage the soybean processors from active buying </w:t>
      </w:r>
      <w:r w:rsidR="007946E6">
        <w:rPr>
          <w:sz w:val="24"/>
          <w:szCs w:val="24"/>
        </w:rPr>
        <w:t xml:space="preserve">and crushing </w:t>
      </w:r>
      <w:r w:rsidR="00D00579">
        <w:rPr>
          <w:sz w:val="24"/>
          <w:szCs w:val="24"/>
        </w:rPr>
        <w:t>the beans</w:t>
      </w:r>
      <w:r w:rsidR="003B66CF">
        <w:rPr>
          <w:sz w:val="24"/>
          <w:szCs w:val="24"/>
        </w:rPr>
        <w:t xml:space="preserve"> supported by sluggish soy meal exports</w:t>
      </w:r>
      <w:r w:rsidR="00D00579">
        <w:rPr>
          <w:sz w:val="24"/>
          <w:szCs w:val="24"/>
        </w:rPr>
        <w:t xml:space="preserve">. Currently, the average weekly crush margin stands </w:t>
      </w:r>
      <w:r w:rsidR="00734C31">
        <w:rPr>
          <w:sz w:val="24"/>
          <w:szCs w:val="24"/>
        </w:rPr>
        <w:t>negative at Rs-146/MT.</w:t>
      </w:r>
    </w:p>
    <w:p w:rsidR="008257BE" w:rsidRDefault="008257BE" w:rsidP="00EB45E8">
      <w:pPr>
        <w:jc w:val="both"/>
        <w:rPr>
          <w:sz w:val="24"/>
          <w:szCs w:val="24"/>
        </w:rPr>
      </w:pPr>
      <w:r w:rsidRPr="008257BE">
        <w:rPr>
          <w:b/>
          <w:sz w:val="24"/>
          <w:szCs w:val="24"/>
        </w:rPr>
        <w:t>Trade Recommendation</w:t>
      </w:r>
      <w:r w:rsidR="00C04582">
        <w:rPr>
          <w:b/>
          <w:sz w:val="24"/>
          <w:szCs w:val="24"/>
        </w:rPr>
        <w:t xml:space="preserve"> – 1 Week</w:t>
      </w:r>
      <w:r w:rsidRPr="008257BE">
        <w:rPr>
          <w:b/>
          <w:sz w:val="24"/>
          <w:szCs w:val="24"/>
        </w:rPr>
        <w:t>:</w:t>
      </w:r>
      <w:r>
        <w:rPr>
          <w:sz w:val="24"/>
          <w:szCs w:val="24"/>
        </w:rPr>
        <w:t xml:space="preserve"> Buy on dips.</w:t>
      </w:r>
    </w:p>
    <w:p w:rsidR="00F76D51" w:rsidRDefault="00F76D51" w:rsidP="00EB45E8">
      <w:pPr>
        <w:jc w:val="both"/>
        <w:rPr>
          <w:sz w:val="24"/>
          <w:szCs w:val="24"/>
        </w:rPr>
      </w:pPr>
      <w:r w:rsidRPr="00F76D51">
        <w:rPr>
          <w:rFonts w:ascii="Arial" w:hAnsi="Arial" w:cs="Arial"/>
          <w:b/>
          <w:sz w:val="24"/>
          <w:szCs w:val="24"/>
        </w:rPr>
        <w:t>Rapeseed - Mustard Seed</w:t>
      </w:r>
    </w:p>
    <w:p w:rsidR="005F1A55" w:rsidRDefault="005F1A55" w:rsidP="00EB45E8">
      <w:pPr>
        <w:jc w:val="both"/>
        <w:rPr>
          <w:sz w:val="24"/>
          <w:szCs w:val="24"/>
        </w:rPr>
      </w:pPr>
      <w:r>
        <w:rPr>
          <w:sz w:val="24"/>
          <w:szCs w:val="24"/>
        </w:rPr>
        <w:t xml:space="preserve">India has reportedly covered an area of 72.4 lakh hectares </w:t>
      </w:r>
      <w:r w:rsidR="00E11B27">
        <w:rPr>
          <w:sz w:val="24"/>
          <w:szCs w:val="24"/>
        </w:rPr>
        <w:t xml:space="preserve">(lha) </w:t>
      </w:r>
      <w:r>
        <w:rPr>
          <w:sz w:val="24"/>
          <w:szCs w:val="24"/>
        </w:rPr>
        <w:t>in mustard seed this season against 65.2 lha.</w:t>
      </w:r>
      <w:r w:rsidR="00E11B27">
        <w:rPr>
          <w:sz w:val="24"/>
          <w:szCs w:val="24"/>
        </w:rPr>
        <w:t xml:space="preserve"> Better yield output of about 945 kg/ha </w:t>
      </w:r>
      <w:r w:rsidR="001213AA">
        <w:rPr>
          <w:sz w:val="24"/>
          <w:szCs w:val="24"/>
        </w:rPr>
        <w:t xml:space="preserve">this year compared to 907 kg/ha in 2009-10 increased the output </w:t>
      </w:r>
      <w:r w:rsidR="002A6059">
        <w:rPr>
          <w:sz w:val="24"/>
          <w:szCs w:val="24"/>
        </w:rPr>
        <w:t>to 68.5 to 71.0 lakh ton</w:t>
      </w:r>
      <w:r w:rsidR="001D226C">
        <w:rPr>
          <w:sz w:val="24"/>
          <w:szCs w:val="24"/>
        </w:rPr>
        <w:t>n</w:t>
      </w:r>
      <w:r w:rsidR="002A6059">
        <w:rPr>
          <w:sz w:val="24"/>
          <w:szCs w:val="24"/>
        </w:rPr>
        <w:t>es compared with 59.2 lakh ton</w:t>
      </w:r>
      <w:r w:rsidR="001D226C">
        <w:rPr>
          <w:sz w:val="24"/>
          <w:szCs w:val="24"/>
        </w:rPr>
        <w:t>n</w:t>
      </w:r>
      <w:r w:rsidR="002A6059">
        <w:rPr>
          <w:sz w:val="24"/>
          <w:szCs w:val="24"/>
        </w:rPr>
        <w:t>es in 2009-10.</w:t>
      </w:r>
    </w:p>
    <w:p w:rsidR="002A6059" w:rsidRDefault="002A6059" w:rsidP="00EB45E8">
      <w:pPr>
        <w:jc w:val="both"/>
        <w:rPr>
          <w:sz w:val="24"/>
          <w:szCs w:val="24"/>
        </w:rPr>
      </w:pPr>
      <w:r>
        <w:rPr>
          <w:sz w:val="24"/>
          <w:szCs w:val="24"/>
        </w:rPr>
        <w:t xml:space="preserve">The result was clear in the physical market </w:t>
      </w:r>
      <w:r w:rsidR="006D1D83">
        <w:rPr>
          <w:sz w:val="24"/>
          <w:szCs w:val="24"/>
        </w:rPr>
        <w:t xml:space="preserve">with a significant increase in the seed supplies. </w:t>
      </w:r>
      <w:r w:rsidR="00DC4D1B">
        <w:rPr>
          <w:sz w:val="24"/>
          <w:szCs w:val="24"/>
        </w:rPr>
        <w:t>The seed market noticed 100 per cent increase in the seed supplies</w:t>
      </w:r>
      <w:r w:rsidR="00AA597E">
        <w:rPr>
          <w:sz w:val="24"/>
          <w:szCs w:val="24"/>
        </w:rPr>
        <w:t xml:space="preserve"> </w:t>
      </w:r>
      <w:r w:rsidR="00AC46C3">
        <w:rPr>
          <w:sz w:val="24"/>
          <w:szCs w:val="24"/>
        </w:rPr>
        <w:t xml:space="preserve">in some key centers </w:t>
      </w:r>
      <w:r w:rsidR="00612426">
        <w:rPr>
          <w:sz w:val="24"/>
          <w:szCs w:val="24"/>
        </w:rPr>
        <w:t>during harvesting</w:t>
      </w:r>
      <w:r w:rsidR="00590083">
        <w:rPr>
          <w:sz w:val="24"/>
          <w:szCs w:val="24"/>
        </w:rPr>
        <w:t>.</w:t>
      </w:r>
      <w:r w:rsidR="005B556C">
        <w:rPr>
          <w:sz w:val="24"/>
          <w:szCs w:val="24"/>
        </w:rPr>
        <w:t xml:space="preserve">The </w:t>
      </w:r>
      <w:r w:rsidR="004F6A46">
        <w:rPr>
          <w:sz w:val="24"/>
          <w:szCs w:val="24"/>
        </w:rPr>
        <w:t>highest reported arrivals in Rajasthan was registered in the second week of April at 5.0 lakh bags (85 kg each)</w:t>
      </w:r>
      <w:r w:rsidR="00B03342">
        <w:rPr>
          <w:sz w:val="24"/>
          <w:szCs w:val="24"/>
        </w:rPr>
        <w:t xml:space="preserve"> compared to 2.5 lakh bags in the corresponding period last year.</w:t>
      </w:r>
    </w:p>
    <w:p w:rsidR="00A60CC1" w:rsidRPr="00A60CC1" w:rsidRDefault="00A60CC1" w:rsidP="00A60CC1">
      <w:pPr>
        <w:spacing w:after="0"/>
        <w:jc w:val="both"/>
        <w:rPr>
          <w:b/>
          <w:sz w:val="24"/>
          <w:szCs w:val="24"/>
        </w:rPr>
      </w:pPr>
      <w:r w:rsidRPr="00A60CC1">
        <w:rPr>
          <w:b/>
          <w:sz w:val="24"/>
          <w:szCs w:val="24"/>
        </w:rPr>
        <w:t>RM Seed Supply</w:t>
      </w:r>
    </w:p>
    <w:tbl>
      <w:tblPr>
        <w:tblStyle w:val="TableGrid"/>
        <w:tblW w:w="0" w:type="auto"/>
        <w:tblLook w:val="04A0"/>
      </w:tblPr>
      <w:tblGrid>
        <w:gridCol w:w="3402"/>
        <w:gridCol w:w="3402"/>
        <w:gridCol w:w="3402"/>
      </w:tblGrid>
      <w:tr w:rsidR="00A566FA" w:rsidTr="00217FBE">
        <w:tc>
          <w:tcPr>
            <w:tcW w:w="10206" w:type="dxa"/>
            <w:gridSpan w:val="3"/>
          </w:tcPr>
          <w:p w:rsidR="00A566FA" w:rsidRDefault="0013738B" w:rsidP="00A566FA">
            <w:pPr>
              <w:jc w:val="center"/>
              <w:rPr>
                <w:sz w:val="24"/>
                <w:szCs w:val="24"/>
              </w:rPr>
            </w:pPr>
            <w:r>
              <w:rPr>
                <w:b/>
                <w:sz w:val="24"/>
                <w:szCs w:val="24"/>
              </w:rPr>
              <w:t xml:space="preserve">RM Seed </w:t>
            </w:r>
            <w:r w:rsidR="00A566FA" w:rsidRPr="00A566FA">
              <w:rPr>
                <w:b/>
                <w:sz w:val="24"/>
                <w:szCs w:val="24"/>
              </w:rPr>
              <w:t>Arrivals</w:t>
            </w:r>
            <w:r>
              <w:rPr>
                <w:b/>
                <w:sz w:val="24"/>
                <w:szCs w:val="24"/>
              </w:rPr>
              <w:t xml:space="preserve"> in Rajasthan</w:t>
            </w:r>
            <w:r w:rsidR="00A60CC1">
              <w:rPr>
                <w:b/>
                <w:sz w:val="24"/>
                <w:szCs w:val="24"/>
              </w:rPr>
              <w:t xml:space="preserve"> in Bags (85 kg each)</w:t>
            </w:r>
          </w:p>
        </w:tc>
      </w:tr>
      <w:tr w:rsidR="00A566FA" w:rsidTr="00A566FA">
        <w:tc>
          <w:tcPr>
            <w:tcW w:w="3402" w:type="dxa"/>
          </w:tcPr>
          <w:p w:rsidR="00A566FA" w:rsidRPr="00943544" w:rsidRDefault="00A566FA" w:rsidP="00943544">
            <w:pPr>
              <w:jc w:val="center"/>
              <w:rPr>
                <w:b/>
                <w:sz w:val="24"/>
                <w:szCs w:val="24"/>
              </w:rPr>
            </w:pPr>
            <w:r w:rsidRPr="00943544">
              <w:rPr>
                <w:b/>
                <w:sz w:val="24"/>
                <w:szCs w:val="24"/>
              </w:rPr>
              <w:t>Current</w:t>
            </w:r>
          </w:p>
        </w:tc>
        <w:tc>
          <w:tcPr>
            <w:tcW w:w="3402" w:type="dxa"/>
          </w:tcPr>
          <w:p w:rsidR="00A566FA" w:rsidRPr="00943544" w:rsidRDefault="00A566FA" w:rsidP="00943544">
            <w:pPr>
              <w:jc w:val="center"/>
              <w:rPr>
                <w:b/>
                <w:sz w:val="24"/>
                <w:szCs w:val="24"/>
              </w:rPr>
            </w:pPr>
            <w:r w:rsidRPr="00943544">
              <w:rPr>
                <w:b/>
                <w:sz w:val="24"/>
                <w:szCs w:val="24"/>
              </w:rPr>
              <w:t>1 Week Ago</w:t>
            </w:r>
          </w:p>
        </w:tc>
        <w:tc>
          <w:tcPr>
            <w:tcW w:w="3402" w:type="dxa"/>
          </w:tcPr>
          <w:p w:rsidR="00A566FA" w:rsidRPr="00943544" w:rsidRDefault="00A566FA" w:rsidP="00943544">
            <w:pPr>
              <w:jc w:val="center"/>
              <w:rPr>
                <w:b/>
                <w:sz w:val="24"/>
                <w:szCs w:val="24"/>
              </w:rPr>
            </w:pPr>
            <w:r w:rsidRPr="00943544">
              <w:rPr>
                <w:b/>
                <w:sz w:val="24"/>
                <w:szCs w:val="24"/>
              </w:rPr>
              <w:t>Corresponding Period Last Year</w:t>
            </w:r>
          </w:p>
        </w:tc>
      </w:tr>
      <w:tr w:rsidR="00A566FA" w:rsidTr="00A566FA">
        <w:tc>
          <w:tcPr>
            <w:tcW w:w="3402" w:type="dxa"/>
          </w:tcPr>
          <w:p w:rsidR="00A566FA" w:rsidRDefault="00B07189" w:rsidP="00A60CC1">
            <w:pPr>
              <w:jc w:val="center"/>
              <w:rPr>
                <w:sz w:val="24"/>
                <w:szCs w:val="24"/>
              </w:rPr>
            </w:pPr>
            <w:r>
              <w:rPr>
                <w:sz w:val="24"/>
                <w:szCs w:val="24"/>
              </w:rPr>
              <w:t>1,80,000</w:t>
            </w:r>
          </w:p>
        </w:tc>
        <w:tc>
          <w:tcPr>
            <w:tcW w:w="3402" w:type="dxa"/>
          </w:tcPr>
          <w:p w:rsidR="00A566FA" w:rsidRDefault="00B07189" w:rsidP="00A60CC1">
            <w:pPr>
              <w:jc w:val="center"/>
              <w:rPr>
                <w:sz w:val="24"/>
                <w:szCs w:val="24"/>
              </w:rPr>
            </w:pPr>
            <w:r>
              <w:rPr>
                <w:sz w:val="24"/>
                <w:szCs w:val="24"/>
              </w:rPr>
              <w:t>2,25,000</w:t>
            </w:r>
          </w:p>
        </w:tc>
        <w:tc>
          <w:tcPr>
            <w:tcW w:w="3402" w:type="dxa"/>
          </w:tcPr>
          <w:p w:rsidR="00A566FA" w:rsidRDefault="00B07189" w:rsidP="00A60CC1">
            <w:pPr>
              <w:jc w:val="center"/>
              <w:rPr>
                <w:sz w:val="24"/>
                <w:szCs w:val="24"/>
              </w:rPr>
            </w:pPr>
            <w:r>
              <w:rPr>
                <w:sz w:val="24"/>
                <w:szCs w:val="24"/>
              </w:rPr>
              <w:t>80,000</w:t>
            </w:r>
          </w:p>
        </w:tc>
      </w:tr>
    </w:tbl>
    <w:p w:rsidR="00A566FA" w:rsidRDefault="00A566FA" w:rsidP="00EB45E8">
      <w:pPr>
        <w:jc w:val="both"/>
        <w:rPr>
          <w:sz w:val="24"/>
          <w:szCs w:val="24"/>
        </w:rPr>
      </w:pPr>
    </w:p>
    <w:p w:rsidR="00A566FA" w:rsidRDefault="00A566FA" w:rsidP="00EB45E8">
      <w:pPr>
        <w:jc w:val="both"/>
        <w:rPr>
          <w:sz w:val="24"/>
          <w:szCs w:val="24"/>
        </w:rPr>
      </w:pPr>
    </w:p>
    <w:p w:rsidR="00F94B49" w:rsidRDefault="005B6898" w:rsidP="00EB45E8">
      <w:pPr>
        <w:jc w:val="both"/>
        <w:rPr>
          <w:sz w:val="24"/>
          <w:szCs w:val="24"/>
        </w:rPr>
      </w:pPr>
      <w:r>
        <w:rPr>
          <w:sz w:val="24"/>
          <w:szCs w:val="24"/>
        </w:rPr>
        <w:t xml:space="preserve">Active buying in the RM seed noticed during the week supported by fresh mustard oil demand </w:t>
      </w:r>
      <w:r w:rsidR="00EE745F">
        <w:rPr>
          <w:sz w:val="24"/>
          <w:szCs w:val="24"/>
        </w:rPr>
        <w:t xml:space="preserve">in </w:t>
      </w:r>
      <w:r>
        <w:rPr>
          <w:sz w:val="24"/>
          <w:szCs w:val="24"/>
        </w:rPr>
        <w:t xml:space="preserve">retail and waning new crop supplies. </w:t>
      </w:r>
      <w:r w:rsidR="00BD4CEC">
        <w:rPr>
          <w:sz w:val="24"/>
          <w:szCs w:val="24"/>
        </w:rPr>
        <w:t xml:space="preserve">Both the stockists and </w:t>
      </w:r>
      <w:r w:rsidR="00850F14">
        <w:rPr>
          <w:sz w:val="24"/>
          <w:szCs w:val="24"/>
        </w:rPr>
        <w:t xml:space="preserve">the millers remained active </w:t>
      </w:r>
      <w:r w:rsidR="003620DA">
        <w:rPr>
          <w:sz w:val="24"/>
          <w:szCs w:val="24"/>
        </w:rPr>
        <w:t xml:space="preserve">in the cash market. </w:t>
      </w:r>
      <w:r w:rsidR="00D9612A">
        <w:rPr>
          <w:sz w:val="24"/>
          <w:szCs w:val="24"/>
        </w:rPr>
        <w:t xml:space="preserve">The market participants feel that the mustard seed prices will gradually move up from the current levels with the decline in supplies. </w:t>
      </w:r>
    </w:p>
    <w:p w:rsidR="009665BB" w:rsidRDefault="00717810" w:rsidP="00EB45E8">
      <w:pPr>
        <w:jc w:val="both"/>
        <w:rPr>
          <w:sz w:val="24"/>
          <w:szCs w:val="24"/>
        </w:rPr>
      </w:pPr>
      <w:r>
        <w:rPr>
          <w:sz w:val="24"/>
          <w:szCs w:val="24"/>
        </w:rPr>
        <w:t xml:space="preserve">Besides, the mustard seed DOC exporters are looking for the </w:t>
      </w:r>
      <w:r w:rsidR="008B7DA3">
        <w:rPr>
          <w:sz w:val="24"/>
          <w:szCs w:val="24"/>
        </w:rPr>
        <w:t xml:space="preserve">shipping </w:t>
      </w:r>
      <w:r>
        <w:rPr>
          <w:sz w:val="24"/>
          <w:szCs w:val="24"/>
        </w:rPr>
        <w:t xml:space="preserve">opportunity </w:t>
      </w:r>
      <w:r w:rsidR="008B7DA3">
        <w:rPr>
          <w:sz w:val="24"/>
          <w:szCs w:val="24"/>
        </w:rPr>
        <w:t>encouraged by the good demand in last couple of months.</w:t>
      </w:r>
      <w:r w:rsidR="00360BB2">
        <w:rPr>
          <w:sz w:val="24"/>
          <w:szCs w:val="24"/>
        </w:rPr>
        <w:t xml:space="preserve"> India exported about 128221 MT </w:t>
      </w:r>
      <w:r w:rsidR="00C55C6B">
        <w:rPr>
          <w:sz w:val="24"/>
          <w:szCs w:val="24"/>
        </w:rPr>
        <w:t xml:space="preserve">(+220%) </w:t>
      </w:r>
      <w:r w:rsidR="00360BB2">
        <w:rPr>
          <w:sz w:val="24"/>
          <w:szCs w:val="24"/>
        </w:rPr>
        <w:t xml:space="preserve">of mustard seed </w:t>
      </w:r>
      <w:r w:rsidR="00360BB2">
        <w:rPr>
          <w:sz w:val="24"/>
          <w:szCs w:val="24"/>
        </w:rPr>
        <w:lastRenderedPageBreak/>
        <w:t xml:space="preserve">DOC in March 2011 compared to just 40121 MT in the corresponding period 2010. In April 2011 Indian mustard seed DOC exports stood at 142232 MT </w:t>
      </w:r>
      <w:r w:rsidR="00C55C6B">
        <w:rPr>
          <w:sz w:val="24"/>
          <w:szCs w:val="24"/>
        </w:rPr>
        <w:t xml:space="preserve">(+21%) </w:t>
      </w:r>
      <w:r w:rsidR="00360BB2">
        <w:rPr>
          <w:sz w:val="24"/>
          <w:szCs w:val="24"/>
        </w:rPr>
        <w:t>compared to 117778</w:t>
      </w:r>
      <w:r w:rsidR="00C55C6B">
        <w:rPr>
          <w:sz w:val="24"/>
          <w:szCs w:val="24"/>
        </w:rPr>
        <w:t xml:space="preserve"> in the same period 2010.</w:t>
      </w:r>
    </w:p>
    <w:p w:rsidR="001935CF" w:rsidRPr="001935CF" w:rsidRDefault="00940688" w:rsidP="00EB45E8">
      <w:pPr>
        <w:jc w:val="both"/>
        <w:rPr>
          <w:b/>
          <w:sz w:val="24"/>
          <w:szCs w:val="24"/>
        </w:rPr>
      </w:pPr>
      <w:r>
        <w:rPr>
          <w:b/>
          <w:noProof/>
          <w:sz w:val="24"/>
          <w:szCs w:val="24"/>
        </w:rPr>
        <w:pict>
          <v:shape id="_x0000_s1029" type="#_x0000_t202" style="position:absolute;left:0;text-align:left;margin-left:24.75pt;margin-top:21.8pt;width:383.25pt;height:231.75pt;z-index:251660288" strokecolor="#92d050" strokeweight="2.25pt">
            <v:textbox style="mso-next-textbox:#_x0000_s1029">
              <w:txbxContent>
                <w:p w:rsidR="00217FBE" w:rsidRDefault="00217FBE" w:rsidP="00012B75">
                  <w:pPr>
                    <w:jc w:val="center"/>
                  </w:pPr>
                  <w:r w:rsidRPr="000F5A47">
                    <w:rPr>
                      <w:noProof/>
                    </w:rPr>
                    <w:drawing>
                      <wp:inline distT="0" distB="0" distL="0" distR="0">
                        <wp:extent cx="4572000" cy="279082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1935CF" w:rsidRPr="001935CF">
        <w:rPr>
          <w:b/>
          <w:sz w:val="24"/>
          <w:szCs w:val="24"/>
        </w:rPr>
        <w:t>Projected India’s Rapeseed Meal Exports in Jun</w:t>
      </w: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1935CF" w:rsidRDefault="001935CF" w:rsidP="00EB45E8">
      <w:pPr>
        <w:jc w:val="both"/>
        <w:rPr>
          <w:sz w:val="24"/>
          <w:szCs w:val="24"/>
        </w:rPr>
      </w:pPr>
    </w:p>
    <w:p w:rsidR="00C457DD" w:rsidRDefault="00574921" w:rsidP="00EB45E8">
      <w:pPr>
        <w:jc w:val="both"/>
        <w:rPr>
          <w:sz w:val="24"/>
          <w:szCs w:val="24"/>
        </w:rPr>
      </w:pPr>
      <w:r>
        <w:rPr>
          <w:sz w:val="24"/>
          <w:szCs w:val="24"/>
        </w:rPr>
        <w:t xml:space="preserve">China and South Korea remain as consistent buyers of rapeseed meal of Indian origin. Besides, Thailand, Indonesia, Japan, Cambodia and Vietnam remain traditional buyers of Indian rapeseed meal. China bought 82157 MT of rape meal in April </w:t>
      </w:r>
      <w:r w:rsidR="00B56D47">
        <w:rPr>
          <w:sz w:val="24"/>
          <w:szCs w:val="24"/>
        </w:rPr>
        <w:t xml:space="preserve">2011 compared to 83554 MT in March 2011 </w:t>
      </w:r>
      <w:r>
        <w:rPr>
          <w:sz w:val="24"/>
          <w:szCs w:val="24"/>
        </w:rPr>
        <w:t>followed 18920 MT by South Korea</w:t>
      </w:r>
      <w:r w:rsidR="00B56D47">
        <w:rPr>
          <w:sz w:val="24"/>
          <w:szCs w:val="24"/>
        </w:rPr>
        <w:t xml:space="preserve"> in April 2011 compared to 18500 MT in March 2011</w:t>
      </w:r>
      <w:r>
        <w:rPr>
          <w:sz w:val="24"/>
          <w:szCs w:val="24"/>
        </w:rPr>
        <w:t>.</w:t>
      </w:r>
    </w:p>
    <w:p w:rsidR="008902B6" w:rsidRDefault="00011C80" w:rsidP="00EB45E8">
      <w:pPr>
        <w:jc w:val="both"/>
        <w:rPr>
          <w:sz w:val="24"/>
          <w:szCs w:val="24"/>
        </w:rPr>
      </w:pPr>
      <w:r>
        <w:rPr>
          <w:sz w:val="24"/>
          <w:szCs w:val="24"/>
        </w:rPr>
        <w:t xml:space="preserve">The </w:t>
      </w:r>
      <w:r w:rsidR="003B0AFD">
        <w:rPr>
          <w:sz w:val="24"/>
          <w:szCs w:val="24"/>
        </w:rPr>
        <w:t xml:space="preserve">millers </w:t>
      </w:r>
      <w:r>
        <w:rPr>
          <w:sz w:val="24"/>
          <w:szCs w:val="24"/>
        </w:rPr>
        <w:t xml:space="preserve">feel demand in mustard seed </w:t>
      </w:r>
      <w:r w:rsidR="001D226C">
        <w:rPr>
          <w:sz w:val="24"/>
          <w:szCs w:val="24"/>
        </w:rPr>
        <w:t>will</w:t>
      </w:r>
      <w:r w:rsidR="00E76C1E">
        <w:rPr>
          <w:sz w:val="24"/>
          <w:szCs w:val="24"/>
        </w:rPr>
        <w:t xml:space="preserve"> </w:t>
      </w:r>
      <w:r w:rsidR="00BE0E19">
        <w:rPr>
          <w:sz w:val="24"/>
          <w:szCs w:val="24"/>
        </w:rPr>
        <w:t xml:space="preserve">rise with the onset of monsoon </w:t>
      </w:r>
      <w:r w:rsidR="006C3918">
        <w:rPr>
          <w:sz w:val="24"/>
          <w:szCs w:val="24"/>
        </w:rPr>
        <w:t>followed by fresh demand in mustard oil at retail</w:t>
      </w:r>
      <w:r w:rsidR="002E36DE">
        <w:rPr>
          <w:sz w:val="24"/>
          <w:szCs w:val="24"/>
        </w:rPr>
        <w:t xml:space="preserve"> </w:t>
      </w:r>
      <w:r w:rsidR="001D226C">
        <w:rPr>
          <w:sz w:val="24"/>
          <w:szCs w:val="24"/>
        </w:rPr>
        <w:t>when</w:t>
      </w:r>
      <w:r w:rsidR="00022480">
        <w:rPr>
          <w:sz w:val="24"/>
          <w:szCs w:val="24"/>
        </w:rPr>
        <w:t xml:space="preserve"> consumption </w:t>
      </w:r>
      <w:r w:rsidR="00E63133">
        <w:rPr>
          <w:sz w:val="24"/>
          <w:szCs w:val="24"/>
        </w:rPr>
        <w:t>increase</w:t>
      </w:r>
      <w:r w:rsidR="00A215B2">
        <w:rPr>
          <w:sz w:val="24"/>
          <w:szCs w:val="24"/>
        </w:rPr>
        <w:t>s</w:t>
      </w:r>
      <w:r w:rsidR="001D226C">
        <w:rPr>
          <w:sz w:val="24"/>
          <w:szCs w:val="24"/>
        </w:rPr>
        <w:t>.</w:t>
      </w:r>
    </w:p>
    <w:p w:rsidR="008902B6" w:rsidRDefault="008902B6" w:rsidP="00EB45E8">
      <w:pPr>
        <w:jc w:val="both"/>
        <w:rPr>
          <w:sz w:val="24"/>
          <w:szCs w:val="24"/>
        </w:rPr>
      </w:pPr>
    </w:p>
    <w:p w:rsidR="005F56D1" w:rsidRDefault="008902B6" w:rsidP="005F56D1">
      <w:pPr>
        <w:jc w:val="both"/>
        <w:rPr>
          <w:sz w:val="24"/>
          <w:szCs w:val="24"/>
        </w:rPr>
      </w:pPr>
      <w:r>
        <w:rPr>
          <w:sz w:val="24"/>
          <w:szCs w:val="24"/>
        </w:rPr>
        <w:t xml:space="preserve">The domestic mustard seed prices are likely to rise during the week followed by declining new crop supplies and spurt in mustard oil demand at retail. </w:t>
      </w:r>
      <w:r w:rsidR="0025420E">
        <w:rPr>
          <w:sz w:val="24"/>
          <w:szCs w:val="24"/>
        </w:rPr>
        <w:t xml:space="preserve">Corroborating the fundamental </w:t>
      </w:r>
      <w:r w:rsidR="00280870">
        <w:rPr>
          <w:sz w:val="24"/>
          <w:szCs w:val="24"/>
        </w:rPr>
        <w:t>t</w:t>
      </w:r>
      <w:r>
        <w:rPr>
          <w:sz w:val="24"/>
          <w:szCs w:val="24"/>
        </w:rPr>
        <w:t xml:space="preserve">he </w:t>
      </w:r>
      <w:r w:rsidR="00280870">
        <w:rPr>
          <w:sz w:val="24"/>
          <w:szCs w:val="24"/>
        </w:rPr>
        <w:t xml:space="preserve">rapeseed </w:t>
      </w:r>
      <w:r>
        <w:rPr>
          <w:sz w:val="24"/>
          <w:szCs w:val="24"/>
        </w:rPr>
        <w:t xml:space="preserve">prices are likely to </w:t>
      </w:r>
      <w:r w:rsidR="000935B7">
        <w:rPr>
          <w:sz w:val="24"/>
          <w:szCs w:val="24"/>
        </w:rPr>
        <w:t xml:space="preserve">improve </w:t>
      </w:r>
      <w:r>
        <w:rPr>
          <w:sz w:val="24"/>
          <w:szCs w:val="24"/>
        </w:rPr>
        <w:t xml:space="preserve">remain between the trading </w:t>
      </w:r>
      <w:r w:rsidR="0035031D">
        <w:rPr>
          <w:sz w:val="24"/>
          <w:szCs w:val="24"/>
        </w:rPr>
        <w:t xml:space="preserve">band </w:t>
      </w:r>
      <w:r>
        <w:rPr>
          <w:sz w:val="24"/>
          <w:szCs w:val="24"/>
        </w:rPr>
        <w:t xml:space="preserve">of Rs2810-2835 per quintal during the week </w:t>
      </w:r>
      <w:r w:rsidR="005F56D1">
        <w:rPr>
          <w:sz w:val="24"/>
          <w:szCs w:val="24"/>
        </w:rPr>
        <w:t>(23</w:t>
      </w:r>
      <w:r w:rsidR="005F56D1" w:rsidRPr="007E1FB2">
        <w:rPr>
          <w:sz w:val="24"/>
          <w:szCs w:val="24"/>
          <w:vertAlign w:val="superscript"/>
        </w:rPr>
        <w:t>rd</w:t>
      </w:r>
      <w:r w:rsidR="005F56D1">
        <w:rPr>
          <w:sz w:val="24"/>
          <w:szCs w:val="24"/>
        </w:rPr>
        <w:t xml:space="preserve"> – 28 May 2011).</w:t>
      </w:r>
    </w:p>
    <w:p w:rsidR="00503F9F" w:rsidRDefault="00503F9F" w:rsidP="005F56D1">
      <w:pPr>
        <w:jc w:val="both"/>
        <w:rPr>
          <w:b/>
          <w:noProof/>
          <w:sz w:val="24"/>
          <w:szCs w:val="24"/>
        </w:rPr>
      </w:pPr>
    </w:p>
    <w:p w:rsidR="00503F9F" w:rsidRDefault="00503F9F" w:rsidP="005F56D1">
      <w:pPr>
        <w:jc w:val="both"/>
        <w:rPr>
          <w:b/>
          <w:noProof/>
          <w:sz w:val="24"/>
          <w:szCs w:val="24"/>
        </w:rPr>
      </w:pPr>
    </w:p>
    <w:p w:rsidR="00503F9F" w:rsidRDefault="00503F9F" w:rsidP="005F56D1">
      <w:pPr>
        <w:jc w:val="both"/>
        <w:rPr>
          <w:b/>
          <w:noProof/>
          <w:sz w:val="24"/>
          <w:szCs w:val="24"/>
        </w:rPr>
      </w:pPr>
    </w:p>
    <w:p w:rsidR="00503F9F" w:rsidRDefault="00503F9F" w:rsidP="005F56D1">
      <w:pPr>
        <w:jc w:val="both"/>
        <w:rPr>
          <w:b/>
          <w:noProof/>
          <w:sz w:val="24"/>
          <w:szCs w:val="24"/>
        </w:rPr>
      </w:pPr>
    </w:p>
    <w:p w:rsidR="00505D3B" w:rsidRPr="00E275E0" w:rsidRDefault="00825A70" w:rsidP="005F56D1">
      <w:pPr>
        <w:jc w:val="both"/>
        <w:rPr>
          <w:b/>
          <w:noProof/>
          <w:sz w:val="24"/>
          <w:szCs w:val="24"/>
        </w:rPr>
      </w:pPr>
      <w:r w:rsidRPr="00E275E0">
        <w:rPr>
          <w:b/>
          <w:noProof/>
          <w:sz w:val="24"/>
          <w:szCs w:val="24"/>
        </w:rPr>
        <w:lastRenderedPageBreak/>
        <w:t>Rapeseed – Mustard Seed Prices Jaipur</w:t>
      </w:r>
    </w:p>
    <w:p w:rsidR="00505D3B" w:rsidRDefault="00940688" w:rsidP="005F56D1">
      <w:pPr>
        <w:jc w:val="both"/>
        <w:rPr>
          <w:sz w:val="24"/>
          <w:szCs w:val="24"/>
        </w:rPr>
      </w:pPr>
      <w:r>
        <w:rPr>
          <w:noProof/>
          <w:sz w:val="24"/>
          <w:szCs w:val="24"/>
        </w:rPr>
        <w:pict>
          <v:shape id="_x0000_s1031" type="#_x0000_t202" style="position:absolute;left:0;text-align:left;margin-left:48pt;margin-top:8.6pt;width:414pt;height:252pt;z-index:251661312" strokecolor="#92d050" strokeweight="2.25pt">
            <v:textbox>
              <w:txbxContent>
                <w:p w:rsidR="00505D3B" w:rsidRDefault="00505D3B">
                  <w:r>
                    <w:rPr>
                      <w:noProof/>
                    </w:rPr>
                    <w:drawing>
                      <wp:inline distT="0" distB="0" distL="0" distR="0">
                        <wp:extent cx="5029200" cy="3050190"/>
                        <wp:effectExtent l="19050" t="0" r="0" b="0"/>
                        <wp:docPr id="4" name="Picture 3" descr="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PNG"/>
                                <pic:cNvPicPr/>
                              </pic:nvPicPr>
                              <pic:blipFill>
                                <a:blip r:embed="rId11"/>
                                <a:stretch>
                                  <a:fillRect/>
                                </a:stretch>
                              </pic:blipFill>
                              <pic:spPr>
                                <a:xfrm>
                                  <a:off x="0" y="0"/>
                                  <a:ext cx="5031872" cy="3051810"/>
                                </a:xfrm>
                                <a:prstGeom prst="rect">
                                  <a:avLst/>
                                </a:prstGeom>
                              </pic:spPr>
                            </pic:pic>
                          </a:graphicData>
                        </a:graphic>
                      </wp:inline>
                    </w:drawing>
                  </w:r>
                </w:p>
              </w:txbxContent>
            </v:textbox>
          </v:shape>
        </w:pict>
      </w: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5F56D1">
      <w:pPr>
        <w:jc w:val="both"/>
        <w:rPr>
          <w:sz w:val="24"/>
          <w:szCs w:val="24"/>
        </w:rPr>
      </w:pPr>
    </w:p>
    <w:p w:rsidR="00505D3B" w:rsidRDefault="00505D3B" w:rsidP="000A6D29">
      <w:pPr>
        <w:jc w:val="both"/>
        <w:rPr>
          <w:b/>
          <w:sz w:val="24"/>
          <w:szCs w:val="24"/>
        </w:rPr>
      </w:pPr>
    </w:p>
    <w:p w:rsidR="00505D3B" w:rsidRDefault="00505D3B" w:rsidP="000A6D29">
      <w:pPr>
        <w:jc w:val="both"/>
        <w:rPr>
          <w:b/>
          <w:sz w:val="24"/>
          <w:szCs w:val="24"/>
        </w:rPr>
      </w:pPr>
    </w:p>
    <w:p w:rsidR="00A83773" w:rsidRDefault="00A83773" w:rsidP="000A6D29">
      <w:pPr>
        <w:jc w:val="both"/>
        <w:rPr>
          <w:b/>
          <w:sz w:val="24"/>
          <w:szCs w:val="24"/>
        </w:rPr>
      </w:pPr>
    </w:p>
    <w:p w:rsidR="000A6D29" w:rsidRDefault="000A6D29" w:rsidP="000A6D29">
      <w:pPr>
        <w:jc w:val="both"/>
        <w:rPr>
          <w:sz w:val="24"/>
          <w:szCs w:val="24"/>
        </w:rPr>
      </w:pPr>
      <w:r w:rsidRPr="008257BE">
        <w:rPr>
          <w:b/>
          <w:sz w:val="24"/>
          <w:szCs w:val="24"/>
        </w:rPr>
        <w:t>Trade Recommendation</w:t>
      </w:r>
      <w:r>
        <w:rPr>
          <w:b/>
          <w:sz w:val="24"/>
          <w:szCs w:val="24"/>
        </w:rPr>
        <w:t xml:space="preserve"> </w:t>
      </w:r>
      <w:r w:rsidR="006246BB">
        <w:rPr>
          <w:b/>
          <w:sz w:val="24"/>
          <w:szCs w:val="24"/>
        </w:rPr>
        <w:t>(</w:t>
      </w:r>
      <w:r w:rsidR="00505D3B">
        <w:rPr>
          <w:b/>
          <w:sz w:val="24"/>
          <w:szCs w:val="24"/>
        </w:rPr>
        <w:t>RM SEED</w:t>
      </w:r>
      <w:r w:rsidR="006246BB">
        <w:rPr>
          <w:b/>
          <w:sz w:val="24"/>
          <w:szCs w:val="24"/>
        </w:rPr>
        <w:t>)</w:t>
      </w:r>
      <w:r w:rsidR="00505D3B">
        <w:rPr>
          <w:b/>
          <w:sz w:val="24"/>
          <w:szCs w:val="24"/>
        </w:rPr>
        <w:t xml:space="preserve"> </w:t>
      </w:r>
      <w:r>
        <w:rPr>
          <w:b/>
          <w:sz w:val="24"/>
          <w:szCs w:val="24"/>
        </w:rPr>
        <w:t>– 1 Week</w:t>
      </w:r>
      <w:r w:rsidRPr="008257BE">
        <w:rPr>
          <w:b/>
          <w:sz w:val="24"/>
          <w:szCs w:val="24"/>
        </w:rPr>
        <w:t>:</w:t>
      </w:r>
      <w:r w:rsidR="00505D3B">
        <w:rPr>
          <w:b/>
          <w:sz w:val="24"/>
          <w:szCs w:val="24"/>
        </w:rPr>
        <w:t xml:space="preserve"> </w:t>
      </w:r>
      <w:r>
        <w:rPr>
          <w:sz w:val="24"/>
          <w:szCs w:val="24"/>
        </w:rPr>
        <w:t>Buy on dips</w:t>
      </w:r>
      <w:r w:rsidR="001A3213">
        <w:rPr>
          <w:sz w:val="24"/>
          <w:szCs w:val="24"/>
        </w:rPr>
        <w:t xml:space="preserve"> towards 2700-2750 levels</w:t>
      </w:r>
      <w:r>
        <w:rPr>
          <w:sz w:val="24"/>
          <w:szCs w:val="24"/>
        </w:rPr>
        <w:t>.</w:t>
      </w:r>
    </w:p>
    <w:p w:rsidR="002206C0" w:rsidRDefault="002206C0" w:rsidP="000A6D29">
      <w:pPr>
        <w:jc w:val="both"/>
        <w:rPr>
          <w:sz w:val="24"/>
          <w:szCs w:val="24"/>
        </w:rPr>
      </w:pPr>
    </w:p>
    <w:p w:rsidR="002206C0" w:rsidRDefault="002206C0" w:rsidP="000A6D29">
      <w:pPr>
        <w:jc w:val="both"/>
        <w:rPr>
          <w:sz w:val="24"/>
          <w:szCs w:val="24"/>
        </w:rPr>
      </w:pPr>
    </w:p>
    <w:p w:rsidR="002206C0" w:rsidRDefault="002206C0" w:rsidP="000A6D29">
      <w:pPr>
        <w:jc w:val="both"/>
        <w:rPr>
          <w:sz w:val="24"/>
          <w:szCs w:val="24"/>
        </w:rPr>
      </w:pPr>
    </w:p>
    <w:p w:rsidR="00E8594F" w:rsidRDefault="00940688" w:rsidP="000A6D29">
      <w:pPr>
        <w:jc w:val="both"/>
        <w:rPr>
          <w:sz w:val="24"/>
          <w:szCs w:val="24"/>
        </w:rPr>
      </w:pPr>
      <w:r>
        <w:rPr>
          <w:noProof/>
          <w:sz w:val="24"/>
          <w:szCs w:val="24"/>
        </w:rPr>
        <w:pict>
          <v:shape id="_x0000_s1032" type="#_x0000_t202" style="position:absolute;left:0;text-align:left;margin-left:-3pt;margin-top:5.75pt;width:519.75pt;height:99.75pt;z-index:251662336" strokecolor="white [3212]">
            <v:textbox>
              <w:txbxContent>
                <w:tbl>
                  <w:tblPr>
                    <w:tblW w:w="499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10321"/>
                  </w:tblGrid>
                  <w:tr w:rsidR="00E8594F" w:rsidRPr="004B5073" w:rsidTr="003255FB">
                    <w:trPr>
                      <w:trHeight w:val="113"/>
                    </w:trPr>
                    <w:tc>
                      <w:tcPr>
                        <w:tcW w:w="5000" w:type="pct"/>
                        <w:shd w:val="clear" w:color="auto" w:fill="008000"/>
                      </w:tcPr>
                      <w:p w:rsidR="00E8594F" w:rsidRPr="004B5073" w:rsidRDefault="00E8594F" w:rsidP="003255FB">
                        <w:pPr>
                          <w:pStyle w:val="AgriwatchBlackBold"/>
                          <w:jc w:val="center"/>
                          <w:rPr>
                            <w:rFonts w:ascii="Verdana" w:hAnsi="Verdana"/>
                            <w:color w:val="FFFFFF"/>
                            <w:sz w:val="16"/>
                          </w:rPr>
                        </w:pPr>
                        <w:r w:rsidRPr="004B5073">
                          <w:rPr>
                            <w:color w:val="FFFFFF"/>
                            <w:sz w:val="16"/>
                          </w:rPr>
                          <w:t>Disclaimer</w:t>
                        </w:r>
                      </w:p>
                    </w:tc>
                  </w:tr>
                  <w:tr w:rsidR="00E8594F" w:rsidTr="003255FB">
                    <w:trPr>
                      <w:trHeight w:val="930"/>
                    </w:trPr>
                    <w:tc>
                      <w:tcPr>
                        <w:tcW w:w="5000" w:type="pct"/>
                        <w:shd w:val="clear" w:color="auto" w:fill="F3F3F3"/>
                      </w:tcPr>
                      <w:p w:rsidR="00E8594F" w:rsidRPr="00D52B56" w:rsidRDefault="00E8594F" w:rsidP="003255FB">
                        <w:pPr>
                          <w:pStyle w:val="AgriwatchBody"/>
                          <w:spacing w:after="0"/>
                          <w:rPr>
                            <w:rFonts w:ascii="Microsoft Sans Serif" w:eastAsia="Arial Unicode MS" w:hAnsi="Microsoft Sans Serif"/>
                            <w:b w:val="0"/>
                            <w:sz w:val="16"/>
                            <w:szCs w:val="16"/>
                          </w:rPr>
                        </w:pPr>
                        <w:r w:rsidRPr="00D52B56">
                          <w:rPr>
                            <w:rFonts w:ascii="Microsoft Sans Serif" w:hAnsi="Microsoft Sans Serif"/>
                            <w:b w:val="0"/>
                            <w:sz w:val="16"/>
                            <w:szCs w:val="16"/>
                          </w:rPr>
                          <w:t xml:space="preserve">The information and opinions contained in the document have been compiled from sources believed to be reliable. The company does not warrant its accuracy, completeness and correctness. Use of data and information contained in this report is at your own risk. This document is not, and should not be construed as, an offer to sell or solicitation to buy any commodities. This document may not be reproduced, distributed or published, in whole or in part, by any recipient hereof for any purpose without prior permission from the Company. IASL and its affiliates and/or their officers, directors and employees may have positions in any commodities mentioned in this document (or in any related investment) and may from time to time add to or dispose of any such commodities (or investment). Please see the detailed disclaimer at </w:t>
                        </w:r>
                        <w:hyperlink r:id="rId12" w:history="1">
                          <w:r w:rsidRPr="00D52B56">
                            <w:rPr>
                              <w:rStyle w:val="Hyperlink"/>
                              <w:rFonts w:ascii="Microsoft Sans Serif" w:hAnsi="Microsoft Sans Serif"/>
                              <w:b w:val="0"/>
                              <w:sz w:val="16"/>
                              <w:szCs w:val="16"/>
                            </w:rPr>
                            <w:t>http://www.agriwatch.com/Disclaimer.asp</w:t>
                          </w:r>
                        </w:hyperlink>
                      </w:p>
                      <w:p w:rsidR="00E8594F" w:rsidRDefault="00E8594F" w:rsidP="003255FB">
                        <w:pPr>
                          <w:pStyle w:val="AgriwatchBody"/>
                          <w:spacing w:after="0"/>
                        </w:pPr>
                        <w:r w:rsidRPr="00D52B56">
                          <w:rPr>
                            <w:rFonts w:ascii="Microsoft Sans Serif" w:hAnsi="Microsoft Sans Serif"/>
                            <w:b w:val="0"/>
                            <w:sz w:val="16"/>
                            <w:szCs w:val="16"/>
                          </w:rPr>
                          <w:t>© 2005 Indian Agribusiness Systems Pvt Ltd.</w:t>
                        </w:r>
                      </w:p>
                    </w:tc>
                  </w:tr>
                </w:tbl>
                <w:p w:rsidR="00E8594F" w:rsidRDefault="00E8594F"/>
              </w:txbxContent>
            </v:textbox>
          </v:shape>
        </w:pict>
      </w:r>
    </w:p>
    <w:p w:rsidR="001C47CC" w:rsidRDefault="001C47CC" w:rsidP="001C47CC">
      <w:pPr>
        <w:jc w:val="center"/>
        <w:rPr>
          <w:sz w:val="24"/>
          <w:szCs w:val="24"/>
        </w:rPr>
      </w:pPr>
    </w:p>
    <w:sectPr w:rsidR="001C47CC" w:rsidSect="00B91178">
      <w:headerReference w:type="even" r:id="rId13"/>
      <w:headerReference w:type="default" r:id="rId14"/>
      <w:footerReference w:type="even" r:id="rId15"/>
      <w:footerReference w:type="default" r:id="rId16"/>
      <w:headerReference w:type="first" r:id="rId17"/>
      <w:footerReference w:type="first" r:id="rId18"/>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FEE" w:rsidRDefault="00D72FEE" w:rsidP="006C7122">
      <w:pPr>
        <w:spacing w:after="0" w:line="240" w:lineRule="auto"/>
      </w:pPr>
      <w:r>
        <w:separator/>
      </w:r>
    </w:p>
  </w:endnote>
  <w:endnote w:type="continuationSeparator" w:id="1">
    <w:p w:rsidR="00D72FEE" w:rsidRDefault="00D72FEE" w:rsidP="006C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CF" w:rsidRDefault="00F31B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CF" w:rsidRDefault="00F31B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CF" w:rsidRDefault="00F31B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FEE" w:rsidRDefault="00D72FEE" w:rsidP="006C7122">
      <w:pPr>
        <w:spacing w:after="0" w:line="240" w:lineRule="auto"/>
      </w:pPr>
      <w:r>
        <w:separator/>
      </w:r>
    </w:p>
  </w:footnote>
  <w:footnote w:type="continuationSeparator" w:id="1">
    <w:p w:rsidR="00D72FEE" w:rsidRDefault="00D72FEE" w:rsidP="006C7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CF" w:rsidRDefault="00F31B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BE" w:rsidRPr="00716A8B" w:rsidRDefault="00217FBE" w:rsidP="00C27F64">
    <w:pPr>
      <w:pStyle w:val="Header"/>
      <w:tabs>
        <w:tab w:val="clear" w:pos="9360"/>
        <w:tab w:val="right" w:pos="9990"/>
      </w:tabs>
      <w:ind w:left="-630"/>
      <w:rPr>
        <w:rFonts w:ascii="Arial" w:hAnsi="Arial" w:cs="Arial"/>
        <w:b/>
        <w:sz w:val="28"/>
        <w:szCs w:val="24"/>
      </w:rPr>
    </w:pPr>
    <w:r>
      <w:rPr>
        <w:noProof/>
      </w:rPr>
      <w:drawing>
        <wp:anchor distT="0" distB="0" distL="114300" distR="114300" simplePos="0" relativeHeight="251658240" behindDoc="0" locked="0" layoutInCell="1" allowOverlap="1">
          <wp:simplePos x="0" y="0"/>
          <wp:positionH relativeFrom="column">
            <wp:posOffset>-324485</wp:posOffset>
          </wp:positionH>
          <wp:positionV relativeFrom="paragraph">
            <wp:posOffset>-287655</wp:posOffset>
          </wp:positionV>
          <wp:extent cx="2743200" cy="6375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3200" cy="637540"/>
                  </a:xfrm>
                  <a:prstGeom prst="rect">
                    <a:avLst/>
                  </a:prstGeom>
                </pic:spPr>
              </pic:pic>
            </a:graphicData>
          </a:graphic>
        </wp:anchor>
      </w:drawing>
    </w:r>
    <w:r>
      <w:tab/>
    </w:r>
    <w:r>
      <w:tab/>
    </w:r>
    <w:r>
      <w:rPr>
        <w:rFonts w:ascii="Arial" w:hAnsi="Arial" w:cs="Arial"/>
        <w:b/>
        <w:sz w:val="28"/>
        <w:szCs w:val="24"/>
      </w:rPr>
      <w:t>Oilmeals Weekly</w:t>
    </w:r>
  </w:p>
  <w:p w:rsidR="00217FBE" w:rsidRPr="00716A8B" w:rsidRDefault="00217FBE" w:rsidP="00B91178">
    <w:pPr>
      <w:pStyle w:val="Header"/>
      <w:tabs>
        <w:tab w:val="clear" w:pos="9360"/>
        <w:tab w:val="right" w:pos="9990"/>
      </w:tabs>
      <w:rPr>
        <w:rFonts w:ascii="Arial" w:hAnsi="Arial" w:cs="Arial"/>
        <w:sz w:val="28"/>
        <w:szCs w:val="24"/>
      </w:rPr>
    </w:pPr>
    <w:r w:rsidRPr="00716A8B">
      <w:rPr>
        <w:rFonts w:ascii="Arial" w:hAnsi="Arial" w:cs="Arial"/>
        <w:sz w:val="28"/>
        <w:szCs w:val="24"/>
      </w:rPr>
      <w:tab/>
    </w:r>
    <w:r w:rsidRPr="00716A8B">
      <w:rPr>
        <w:rFonts w:ascii="Arial" w:hAnsi="Arial" w:cs="Arial"/>
        <w:sz w:val="28"/>
        <w:szCs w:val="24"/>
      </w:rPr>
      <w:tab/>
    </w:r>
    <w:r w:rsidRPr="00716A8B">
      <w:rPr>
        <w:rFonts w:ascii="Arial" w:hAnsi="Arial" w:cs="Arial"/>
        <w:szCs w:val="24"/>
      </w:rPr>
      <w:t xml:space="preserve">May </w:t>
    </w:r>
    <w:r>
      <w:rPr>
        <w:rFonts w:ascii="Arial" w:hAnsi="Arial" w:cs="Arial"/>
        <w:szCs w:val="24"/>
      </w:rPr>
      <w:t>23</w:t>
    </w:r>
    <w:r w:rsidRPr="00716A8B">
      <w:rPr>
        <w:rFonts w:ascii="Arial" w:hAnsi="Arial" w:cs="Arial"/>
        <w:szCs w:val="24"/>
      </w:rPr>
      <w:t>,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CF" w:rsidRDefault="00F31B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7464"/>
    <w:multiLevelType w:val="hybridMultilevel"/>
    <w:tmpl w:val="0704646A"/>
    <w:lvl w:ilvl="0" w:tplc="04090009">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
    <w:nsid w:val="75BA3959"/>
    <w:multiLevelType w:val="hybridMultilevel"/>
    <w:tmpl w:val="AB36B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8194"/>
  </w:hdrShapeDefaults>
  <w:footnotePr>
    <w:footnote w:id="0"/>
    <w:footnote w:id="1"/>
  </w:footnotePr>
  <w:endnotePr>
    <w:endnote w:id="0"/>
    <w:endnote w:id="1"/>
  </w:endnotePr>
  <w:compat/>
  <w:rsids>
    <w:rsidRoot w:val="0062136F"/>
    <w:rsid w:val="000007AE"/>
    <w:rsid w:val="00000E29"/>
    <w:rsid w:val="00001DCC"/>
    <w:rsid w:val="0000587A"/>
    <w:rsid w:val="0000766F"/>
    <w:rsid w:val="00011C80"/>
    <w:rsid w:val="00012B75"/>
    <w:rsid w:val="00016752"/>
    <w:rsid w:val="00022480"/>
    <w:rsid w:val="00022EA8"/>
    <w:rsid w:val="00023691"/>
    <w:rsid w:val="000258FA"/>
    <w:rsid w:val="000269A4"/>
    <w:rsid w:val="000269C1"/>
    <w:rsid w:val="000307F1"/>
    <w:rsid w:val="000400F5"/>
    <w:rsid w:val="0004408B"/>
    <w:rsid w:val="00045600"/>
    <w:rsid w:val="00051E15"/>
    <w:rsid w:val="00057833"/>
    <w:rsid w:val="0006164A"/>
    <w:rsid w:val="000621B6"/>
    <w:rsid w:val="000633CC"/>
    <w:rsid w:val="00064FA4"/>
    <w:rsid w:val="0007166A"/>
    <w:rsid w:val="0007198E"/>
    <w:rsid w:val="000751CA"/>
    <w:rsid w:val="00075F64"/>
    <w:rsid w:val="00083C72"/>
    <w:rsid w:val="000851A6"/>
    <w:rsid w:val="000906F0"/>
    <w:rsid w:val="000911BC"/>
    <w:rsid w:val="00091ACA"/>
    <w:rsid w:val="00092306"/>
    <w:rsid w:val="000935B7"/>
    <w:rsid w:val="000964D7"/>
    <w:rsid w:val="000977F4"/>
    <w:rsid w:val="000A1E53"/>
    <w:rsid w:val="000A5121"/>
    <w:rsid w:val="000A6D29"/>
    <w:rsid w:val="000A77F8"/>
    <w:rsid w:val="000B0680"/>
    <w:rsid w:val="000B1C2A"/>
    <w:rsid w:val="000C0807"/>
    <w:rsid w:val="000C0FCC"/>
    <w:rsid w:val="000C1190"/>
    <w:rsid w:val="000D068C"/>
    <w:rsid w:val="000D2C35"/>
    <w:rsid w:val="000D7F24"/>
    <w:rsid w:val="000E0FE8"/>
    <w:rsid w:val="000E13AA"/>
    <w:rsid w:val="000E75DC"/>
    <w:rsid w:val="000F152A"/>
    <w:rsid w:val="000F4387"/>
    <w:rsid w:val="000F5A47"/>
    <w:rsid w:val="00100485"/>
    <w:rsid w:val="00104B25"/>
    <w:rsid w:val="00107020"/>
    <w:rsid w:val="00110808"/>
    <w:rsid w:val="001115FB"/>
    <w:rsid w:val="00113E5B"/>
    <w:rsid w:val="00114DE5"/>
    <w:rsid w:val="001153A4"/>
    <w:rsid w:val="00115A6D"/>
    <w:rsid w:val="00116B04"/>
    <w:rsid w:val="00120308"/>
    <w:rsid w:val="001213AA"/>
    <w:rsid w:val="00121F2D"/>
    <w:rsid w:val="00124F51"/>
    <w:rsid w:val="001251AF"/>
    <w:rsid w:val="001318FE"/>
    <w:rsid w:val="00134B49"/>
    <w:rsid w:val="00135213"/>
    <w:rsid w:val="0013738B"/>
    <w:rsid w:val="0014105E"/>
    <w:rsid w:val="00141947"/>
    <w:rsid w:val="001427B0"/>
    <w:rsid w:val="00144013"/>
    <w:rsid w:val="00144B67"/>
    <w:rsid w:val="00147524"/>
    <w:rsid w:val="001477B8"/>
    <w:rsid w:val="001554F0"/>
    <w:rsid w:val="001561D1"/>
    <w:rsid w:val="001642D8"/>
    <w:rsid w:val="00164574"/>
    <w:rsid w:val="0016479C"/>
    <w:rsid w:val="00164A4F"/>
    <w:rsid w:val="00164D4E"/>
    <w:rsid w:val="001746B6"/>
    <w:rsid w:val="00175029"/>
    <w:rsid w:val="00180F51"/>
    <w:rsid w:val="00181340"/>
    <w:rsid w:val="001816A8"/>
    <w:rsid w:val="00183000"/>
    <w:rsid w:val="00184B13"/>
    <w:rsid w:val="001935CF"/>
    <w:rsid w:val="00194B8C"/>
    <w:rsid w:val="001962D4"/>
    <w:rsid w:val="00196804"/>
    <w:rsid w:val="0019694B"/>
    <w:rsid w:val="001A0A25"/>
    <w:rsid w:val="001A1162"/>
    <w:rsid w:val="001A2908"/>
    <w:rsid w:val="001A3213"/>
    <w:rsid w:val="001A52BE"/>
    <w:rsid w:val="001A6BA6"/>
    <w:rsid w:val="001A73E7"/>
    <w:rsid w:val="001B3A30"/>
    <w:rsid w:val="001B47FC"/>
    <w:rsid w:val="001B7549"/>
    <w:rsid w:val="001C117C"/>
    <w:rsid w:val="001C47CC"/>
    <w:rsid w:val="001C74AE"/>
    <w:rsid w:val="001D226C"/>
    <w:rsid w:val="001D23A0"/>
    <w:rsid w:val="001D3147"/>
    <w:rsid w:val="001D68F3"/>
    <w:rsid w:val="001D759B"/>
    <w:rsid w:val="001E0B0E"/>
    <w:rsid w:val="001E1B25"/>
    <w:rsid w:val="001E66D1"/>
    <w:rsid w:val="001F11AF"/>
    <w:rsid w:val="001F1FC9"/>
    <w:rsid w:val="001F751B"/>
    <w:rsid w:val="001F7BBA"/>
    <w:rsid w:val="002014B2"/>
    <w:rsid w:val="00203923"/>
    <w:rsid w:val="00203F45"/>
    <w:rsid w:val="00204D60"/>
    <w:rsid w:val="00211332"/>
    <w:rsid w:val="00211A05"/>
    <w:rsid w:val="0021302D"/>
    <w:rsid w:val="0021396D"/>
    <w:rsid w:val="00217409"/>
    <w:rsid w:val="00217FBE"/>
    <w:rsid w:val="002206C0"/>
    <w:rsid w:val="00225DA8"/>
    <w:rsid w:val="00226161"/>
    <w:rsid w:val="00227A8D"/>
    <w:rsid w:val="00230D23"/>
    <w:rsid w:val="00230EC8"/>
    <w:rsid w:val="00231653"/>
    <w:rsid w:val="0023514A"/>
    <w:rsid w:val="00240703"/>
    <w:rsid w:val="002426F0"/>
    <w:rsid w:val="00243526"/>
    <w:rsid w:val="002521BB"/>
    <w:rsid w:val="0025420E"/>
    <w:rsid w:val="0025695E"/>
    <w:rsid w:val="00260348"/>
    <w:rsid w:val="002607E4"/>
    <w:rsid w:val="00261786"/>
    <w:rsid w:val="00261C6D"/>
    <w:rsid w:val="0026392E"/>
    <w:rsid w:val="00263B1A"/>
    <w:rsid w:val="00264A23"/>
    <w:rsid w:val="00270B73"/>
    <w:rsid w:val="00271D7F"/>
    <w:rsid w:val="00277520"/>
    <w:rsid w:val="00280870"/>
    <w:rsid w:val="002810CA"/>
    <w:rsid w:val="00281334"/>
    <w:rsid w:val="00285360"/>
    <w:rsid w:val="002872AC"/>
    <w:rsid w:val="00290559"/>
    <w:rsid w:val="00291DA2"/>
    <w:rsid w:val="00292667"/>
    <w:rsid w:val="0029484D"/>
    <w:rsid w:val="002A096E"/>
    <w:rsid w:val="002A1793"/>
    <w:rsid w:val="002A1FC7"/>
    <w:rsid w:val="002A24B5"/>
    <w:rsid w:val="002A3B2F"/>
    <w:rsid w:val="002A6059"/>
    <w:rsid w:val="002B09B3"/>
    <w:rsid w:val="002B43A7"/>
    <w:rsid w:val="002B5AE4"/>
    <w:rsid w:val="002B7A10"/>
    <w:rsid w:val="002C0B13"/>
    <w:rsid w:val="002C1690"/>
    <w:rsid w:val="002C31C4"/>
    <w:rsid w:val="002C3629"/>
    <w:rsid w:val="002C5421"/>
    <w:rsid w:val="002C6CAA"/>
    <w:rsid w:val="002D2805"/>
    <w:rsid w:val="002D6FDB"/>
    <w:rsid w:val="002D7E80"/>
    <w:rsid w:val="002E1265"/>
    <w:rsid w:val="002E29D0"/>
    <w:rsid w:val="002E319F"/>
    <w:rsid w:val="002E36DE"/>
    <w:rsid w:val="002F0220"/>
    <w:rsid w:val="002F1B14"/>
    <w:rsid w:val="002F1C71"/>
    <w:rsid w:val="002F2FD7"/>
    <w:rsid w:val="002F71E6"/>
    <w:rsid w:val="00300859"/>
    <w:rsid w:val="0030280C"/>
    <w:rsid w:val="00304752"/>
    <w:rsid w:val="00310761"/>
    <w:rsid w:val="00310C89"/>
    <w:rsid w:val="00321C9E"/>
    <w:rsid w:val="0032356A"/>
    <w:rsid w:val="003258E2"/>
    <w:rsid w:val="00327393"/>
    <w:rsid w:val="00330F38"/>
    <w:rsid w:val="003412A3"/>
    <w:rsid w:val="0034179E"/>
    <w:rsid w:val="00342065"/>
    <w:rsid w:val="00346D86"/>
    <w:rsid w:val="0034758C"/>
    <w:rsid w:val="0035031D"/>
    <w:rsid w:val="00350EB2"/>
    <w:rsid w:val="00352F94"/>
    <w:rsid w:val="00353BD9"/>
    <w:rsid w:val="00354842"/>
    <w:rsid w:val="0035487F"/>
    <w:rsid w:val="003567A8"/>
    <w:rsid w:val="00360BB2"/>
    <w:rsid w:val="003620DA"/>
    <w:rsid w:val="003660FE"/>
    <w:rsid w:val="003665BF"/>
    <w:rsid w:val="0036716A"/>
    <w:rsid w:val="003736B5"/>
    <w:rsid w:val="00374A11"/>
    <w:rsid w:val="00376A9A"/>
    <w:rsid w:val="00377A75"/>
    <w:rsid w:val="00377E99"/>
    <w:rsid w:val="00381B63"/>
    <w:rsid w:val="003855F9"/>
    <w:rsid w:val="00386B09"/>
    <w:rsid w:val="00390044"/>
    <w:rsid w:val="0039217B"/>
    <w:rsid w:val="00394B1D"/>
    <w:rsid w:val="00397267"/>
    <w:rsid w:val="003A1C01"/>
    <w:rsid w:val="003A7DAC"/>
    <w:rsid w:val="003B04DB"/>
    <w:rsid w:val="003B0AFD"/>
    <w:rsid w:val="003B66CF"/>
    <w:rsid w:val="003C3C87"/>
    <w:rsid w:val="003C4618"/>
    <w:rsid w:val="003D088E"/>
    <w:rsid w:val="003D4F88"/>
    <w:rsid w:val="003D5A84"/>
    <w:rsid w:val="003E0261"/>
    <w:rsid w:val="003E0F03"/>
    <w:rsid w:val="003E24BD"/>
    <w:rsid w:val="003F0885"/>
    <w:rsid w:val="003F254C"/>
    <w:rsid w:val="003F3766"/>
    <w:rsid w:val="003F4912"/>
    <w:rsid w:val="003F5905"/>
    <w:rsid w:val="003F5F95"/>
    <w:rsid w:val="00400D64"/>
    <w:rsid w:val="00401985"/>
    <w:rsid w:val="00402ABE"/>
    <w:rsid w:val="004037A2"/>
    <w:rsid w:val="004069FF"/>
    <w:rsid w:val="00406E35"/>
    <w:rsid w:val="0041104B"/>
    <w:rsid w:val="0041236B"/>
    <w:rsid w:val="00414CFF"/>
    <w:rsid w:val="0041501B"/>
    <w:rsid w:val="0042401C"/>
    <w:rsid w:val="0042424F"/>
    <w:rsid w:val="00425EF4"/>
    <w:rsid w:val="00427993"/>
    <w:rsid w:val="00431538"/>
    <w:rsid w:val="00433F2E"/>
    <w:rsid w:val="00435FC7"/>
    <w:rsid w:val="00437956"/>
    <w:rsid w:val="00437D01"/>
    <w:rsid w:val="004424E8"/>
    <w:rsid w:val="0044367F"/>
    <w:rsid w:val="0044642A"/>
    <w:rsid w:val="004466C6"/>
    <w:rsid w:val="0045022C"/>
    <w:rsid w:val="00451A1F"/>
    <w:rsid w:val="00452C54"/>
    <w:rsid w:val="00453A4F"/>
    <w:rsid w:val="004618F2"/>
    <w:rsid w:val="00466D76"/>
    <w:rsid w:val="00466E38"/>
    <w:rsid w:val="00467A64"/>
    <w:rsid w:val="004701B0"/>
    <w:rsid w:val="00477423"/>
    <w:rsid w:val="00477FA7"/>
    <w:rsid w:val="004823BD"/>
    <w:rsid w:val="00482C59"/>
    <w:rsid w:val="00482C99"/>
    <w:rsid w:val="00491251"/>
    <w:rsid w:val="0049194A"/>
    <w:rsid w:val="004972DF"/>
    <w:rsid w:val="00497AB9"/>
    <w:rsid w:val="004A712A"/>
    <w:rsid w:val="004A7547"/>
    <w:rsid w:val="004B2F35"/>
    <w:rsid w:val="004B5A38"/>
    <w:rsid w:val="004B6040"/>
    <w:rsid w:val="004B60D0"/>
    <w:rsid w:val="004B7E3E"/>
    <w:rsid w:val="004C2026"/>
    <w:rsid w:val="004C2FA2"/>
    <w:rsid w:val="004C767D"/>
    <w:rsid w:val="004D0F73"/>
    <w:rsid w:val="004D3290"/>
    <w:rsid w:val="004D4FA4"/>
    <w:rsid w:val="004D5343"/>
    <w:rsid w:val="004D564C"/>
    <w:rsid w:val="004D71DD"/>
    <w:rsid w:val="004E16C2"/>
    <w:rsid w:val="004E37ED"/>
    <w:rsid w:val="004E755B"/>
    <w:rsid w:val="004E78BD"/>
    <w:rsid w:val="004F1BA2"/>
    <w:rsid w:val="004F204E"/>
    <w:rsid w:val="004F2542"/>
    <w:rsid w:val="004F2E9F"/>
    <w:rsid w:val="004F6A46"/>
    <w:rsid w:val="004F6B4E"/>
    <w:rsid w:val="00503F9F"/>
    <w:rsid w:val="005043FF"/>
    <w:rsid w:val="00505D3B"/>
    <w:rsid w:val="00506BFF"/>
    <w:rsid w:val="00513931"/>
    <w:rsid w:val="005179B3"/>
    <w:rsid w:val="0052527B"/>
    <w:rsid w:val="00531AFD"/>
    <w:rsid w:val="00531C05"/>
    <w:rsid w:val="0053342B"/>
    <w:rsid w:val="00534084"/>
    <w:rsid w:val="00534A1C"/>
    <w:rsid w:val="0053793F"/>
    <w:rsid w:val="00546017"/>
    <w:rsid w:val="00551D9F"/>
    <w:rsid w:val="00553B26"/>
    <w:rsid w:val="005551F6"/>
    <w:rsid w:val="00563351"/>
    <w:rsid w:val="0057181E"/>
    <w:rsid w:val="00574921"/>
    <w:rsid w:val="005778C5"/>
    <w:rsid w:val="00582360"/>
    <w:rsid w:val="00584CEC"/>
    <w:rsid w:val="0058574F"/>
    <w:rsid w:val="00587A9C"/>
    <w:rsid w:val="00590083"/>
    <w:rsid w:val="005927C0"/>
    <w:rsid w:val="00593076"/>
    <w:rsid w:val="00593D6A"/>
    <w:rsid w:val="00594468"/>
    <w:rsid w:val="005952F0"/>
    <w:rsid w:val="005A0711"/>
    <w:rsid w:val="005A2F1F"/>
    <w:rsid w:val="005A54A6"/>
    <w:rsid w:val="005A78AC"/>
    <w:rsid w:val="005B0AC9"/>
    <w:rsid w:val="005B15F5"/>
    <w:rsid w:val="005B32E7"/>
    <w:rsid w:val="005B3A42"/>
    <w:rsid w:val="005B556C"/>
    <w:rsid w:val="005B61F6"/>
    <w:rsid w:val="005B6898"/>
    <w:rsid w:val="005B7D20"/>
    <w:rsid w:val="005C024E"/>
    <w:rsid w:val="005C064B"/>
    <w:rsid w:val="005D2289"/>
    <w:rsid w:val="005D2DF1"/>
    <w:rsid w:val="005D2ED5"/>
    <w:rsid w:val="005D3E29"/>
    <w:rsid w:val="005D4370"/>
    <w:rsid w:val="005E0327"/>
    <w:rsid w:val="005E0D0B"/>
    <w:rsid w:val="005E0DB1"/>
    <w:rsid w:val="005E2221"/>
    <w:rsid w:val="005E258D"/>
    <w:rsid w:val="005E791D"/>
    <w:rsid w:val="005F0334"/>
    <w:rsid w:val="005F0499"/>
    <w:rsid w:val="005F1A55"/>
    <w:rsid w:val="005F51BF"/>
    <w:rsid w:val="005F56D1"/>
    <w:rsid w:val="005F7C99"/>
    <w:rsid w:val="006034EF"/>
    <w:rsid w:val="00604612"/>
    <w:rsid w:val="00607AC6"/>
    <w:rsid w:val="00612426"/>
    <w:rsid w:val="006158AD"/>
    <w:rsid w:val="0062001E"/>
    <w:rsid w:val="00620B8A"/>
    <w:rsid w:val="0062136F"/>
    <w:rsid w:val="00621E42"/>
    <w:rsid w:val="00622D42"/>
    <w:rsid w:val="006246BB"/>
    <w:rsid w:val="006257A5"/>
    <w:rsid w:val="00641335"/>
    <w:rsid w:val="00643BF5"/>
    <w:rsid w:val="006467A1"/>
    <w:rsid w:val="006478B8"/>
    <w:rsid w:val="006509D9"/>
    <w:rsid w:val="006546EE"/>
    <w:rsid w:val="006550EF"/>
    <w:rsid w:val="00657223"/>
    <w:rsid w:val="00657D1C"/>
    <w:rsid w:val="006619A3"/>
    <w:rsid w:val="00662D56"/>
    <w:rsid w:val="006634EC"/>
    <w:rsid w:val="006651D0"/>
    <w:rsid w:val="0067056F"/>
    <w:rsid w:val="0067183D"/>
    <w:rsid w:val="00671A82"/>
    <w:rsid w:val="00673F82"/>
    <w:rsid w:val="006807A1"/>
    <w:rsid w:val="0068256F"/>
    <w:rsid w:val="0068397F"/>
    <w:rsid w:val="0068612C"/>
    <w:rsid w:val="006A3360"/>
    <w:rsid w:val="006A40E4"/>
    <w:rsid w:val="006A5561"/>
    <w:rsid w:val="006A615A"/>
    <w:rsid w:val="006B5086"/>
    <w:rsid w:val="006B79FD"/>
    <w:rsid w:val="006C0F4E"/>
    <w:rsid w:val="006C3918"/>
    <w:rsid w:val="006C5670"/>
    <w:rsid w:val="006C5835"/>
    <w:rsid w:val="006C7122"/>
    <w:rsid w:val="006C7878"/>
    <w:rsid w:val="006D078A"/>
    <w:rsid w:val="006D0A5A"/>
    <w:rsid w:val="006D154D"/>
    <w:rsid w:val="006D1D83"/>
    <w:rsid w:val="006D2399"/>
    <w:rsid w:val="006D5777"/>
    <w:rsid w:val="006D61B3"/>
    <w:rsid w:val="006E1E37"/>
    <w:rsid w:val="006E6564"/>
    <w:rsid w:val="006E6877"/>
    <w:rsid w:val="006F09D1"/>
    <w:rsid w:val="006F0DF8"/>
    <w:rsid w:val="006F3823"/>
    <w:rsid w:val="006F79E6"/>
    <w:rsid w:val="00700D0A"/>
    <w:rsid w:val="007063AA"/>
    <w:rsid w:val="00711C78"/>
    <w:rsid w:val="00712B0F"/>
    <w:rsid w:val="00714803"/>
    <w:rsid w:val="00715FFE"/>
    <w:rsid w:val="00716A8B"/>
    <w:rsid w:val="007177B7"/>
    <w:rsid w:val="00717810"/>
    <w:rsid w:val="00722B78"/>
    <w:rsid w:val="007242B5"/>
    <w:rsid w:val="00731B72"/>
    <w:rsid w:val="0073416D"/>
    <w:rsid w:val="0073477C"/>
    <w:rsid w:val="00734C31"/>
    <w:rsid w:val="00734E9C"/>
    <w:rsid w:val="00735815"/>
    <w:rsid w:val="0073583B"/>
    <w:rsid w:val="00736E61"/>
    <w:rsid w:val="0075532D"/>
    <w:rsid w:val="00756F62"/>
    <w:rsid w:val="0075792E"/>
    <w:rsid w:val="007620A4"/>
    <w:rsid w:val="007668A3"/>
    <w:rsid w:val="00766A4D"/>
    <w:rsid w:val="00767E3F"/>
    <w:rsid w:val="0077003D"/>
    <w:rsid w:val="00772678"/>
    <w:rsid w:val="007763BD"/>
    <w:rsid w:val="0078100D"/>
    <w:rsid w:val="00785410"/>
    <w:rsid w:val="007864DD"/>
    <w:rsid w:val="00790468"/>
    <w:rsid w:val="0079108A"/>
    <w:rsid w:val="00791345"/>
    <w:rsid w:val="007946E6"/>
    <w:rsid w:val="00795F01"/>
    <w:rsid w:val="00797DD6"/>
    <w:rsid w:val="007A0C6E"/>
    <w:rsid w:val="007A435C"/>
    <w:rsid w:val="007A4453"/>
    <w:rsid w:val="007A66B5"/>
    <w:rsid w:val="007A66D7"/>
    <w:rsid w:val="007A740A"/>
    <w:rsid w:val="007B128B"/>
    <w:rsid w:val="007B2B5E"/>
    <w:rsid w:val="007B471D"/>
    <w:rsid w:val="007B5738"/>
    <w:rsid w:val="007B5DC7"/>
    <w:rsid w:val="007C0C65"/>
    <w:rsid w:val="007C2EE7"/>
    <w:rsid w:val="007C30AB"/>
    <w:rsid w:val="007C603D"/>
    <w:rsid w:val="007C63E9"/>
    <w:rsid w:val="007D0844"/>
    <w:rsid w:val="007D2D04"/>
    <w:rsid w:val="007D5303"/>
    <w:rsid w:val="007D63D4"/>
    <w:rsid w:val="007D6E57"/>
    <w:rsid w:val="007E05E1"/>
    <w:rsid w:val="007E1FB2"/>
    <w:rsid w:val="007E20FB"/>
    <w:rsid w:val="007E35CA"/>
    <w:rsid w:val="007E5F10"/>
    <w:rsid w:val="007F0A35"/>
    <w:rsid w:val="007F64B5"/>
    <w:rsid w:val="008002F3"/>
    <w:rsid w:val="00805CC5"/>
    <w:rsid w:val="00806F94"/>
    <w:rsid w:val="00812D7E"/>
    <w:rsid w:val="00815956"/>
    <w:rsid w:val="00816E3E"/>
    <w:rsid w:val="0082085B"/>
    <w:rsid w:val="0082555D"/>
    <w:rsid w:val="008257BE"/>
    <w:rsid w:val="00825A70"/>
    <w:rsid w:val="008265F5"/>
    <w:rsid w:val="00827A50"/>
    <w:rsid w:val="00830A6B"/>
    <w:rsid w:val="00831C3D"/>
    <w:rsid w:val="00832AE4"/>
    <w:rsid w:val="00835819"/>
    <w:rsid w:val="008422D5"/>
    <w:rsid w:val="00845A41"/>
    <w:rsid w:val="008471E4"/>
    <w:rsid w:val="0084770D"/>
    <w:rsid w:val="00850A67"/>
    <w:rsid w:val="00850F14"/>
    <w:rsid w:val="00853C49"/>
    <w:rsid w:val="008540B0"/>
    <w:rsid w:val="00854E1A"/>
    <w:rsid w:val="0085565F"/>
    <w:rsid w:val="0085701F"/>
    <w:rsid w:val="0086104E"/>
    <w:rsid w:val="00866DF1"/>
    <w:rsid w:val="008673AE"/>
    <w:rsid w:val="00871628"/>
    <w:rsid w:val="00871660"/>
    <w:rsid w:val="00872EE3"/>
    <w:rsid w:val="008759A4"/>
    <w:rsid w:val="00876089"/>
    <w:rsid w:val="008806C7"/>
    <w:rsid w:val="0088157C"/>
    <w:rsid w:val="00886546"/>
    <w:rsid w:val="00886809"/>
    <w:rsid w:val="008902B6"/>
    <w:rsid w:val="008909F8"/>
    <w:rsid w:val="00890DB2"/>
    <w:rsid w:val="008912B6"/>
    <w:rsid w:val="00892C10"/>
    <w:rsid w:val="0089767B"/>
    <w:rsid w:val="00897E0A"/>
    <w:rsid w:val="008B27A8"/>
    <w:rsid w:val="008B2B0B"/>
    <w:rsid w:val="008B35F9"/>
    <w:rsid w:val="008B4FA4"/>
    <w:rsid w:val="008B6469"/>
    <w:rsid w:val="008B7DA3"/>
    <w:rsid w:val="008C0448"/>
    <w:rsid w:val="008C12A8"/>
    <w:rsid w:val="008C27F5"/>
    <w:rsid w:val="008C3010"/>
    <w:rsid w:val="008C522A"/>
    <w:rsid w:val="008C5A50"/>
    <w:rsid w:val="008D106C"/>
    <w:rsid w:val="008D1968"/>
    <w:rsid w:val="008D2ABC"/>
    <w:rsid w:val="008D37C1"/>
    <w:rsid w:val="008F05DF"/>
    <w:rsid w:val="008F33D9"/>
    <w:rsid w:val="008F750E"/>
    <w:rsid w:val="008F7C77"/>
    <w:rsid w:val="00906B2E"/>
    <w:rsid w:val="00907241"/>
    <w:rsid w:val="00913C9C"/>
    <w:rsid w:val="0091743B"/>
    <w:rsid w:val="00920EE7"/>
    <w:rsid w:val="009237BD"/>
    <w:rsid w:val="009367B2"/>
    <w:rsid w:val="00936AF0"/>
    <w:rsid w:val="00940688"/>
    <w:rsid w:val="00940D75"/>
    <w:rsid w:val="00943544"/>
    <w:rsid w:val="0094380A"/>
    <w:rsid w:val="00943E82"/>
    <w:rsid w:val="0094714B"/>
    <w:rsid w:val="00952DAE"/>
    <w:rsid w:val="009532C5"/>
    <w:rsid w:val="00955EE4"/>
    <w:rsid w:val="00961037"/>
    <w:rsid w:val="00963081"/>
    <w:rsid w:val="00964525"/>
    <w:rsid w:val="00964D3C"/>
    <w:rsid w:val="009654FA"/>
    <w:rsid w:val="00965E3A"/>
    <w:rsid w:val="009665BB"/>
    <w:rsid w:val="00970AB1"/>
    <w:rsid w:val="00971B05"/>
    <w:rsid w:val="009735C2"/>
    <w:rsid w:val="00973749"/>
    <w:rsid w:val="00975C1B"/>
    <w:rsid w:val="00983989"/>
    <w:rsid w:val="009850DC"/>
    <w:rsid w:val="00985490"/>
    <w:rsid w:val="00985918"/>
    <w:rsid w:val="00990B60"/>
    <w:rsid w:val="00992184"/>
    <w:rsid w:val="00992457"/>
    <w:rsid w:val="00993835"/>
    <w:rsid w:val="00994F30"/>
    <w:rsid w:val="00995DBE"/>
    <w:rsid w:val="00997D66"/>
    <w:rsid w:val="009A59D8"/>
    <w:rsid w:val="009A717B"/>
    <w:rsid w:val="009B0311"/>
    <w:rsid w:val="009B17FA"/>
    <w:rsid w:val="009B4614"/>
    <w:rsid w:val="009B6740"/>
    <w:rsid w:val="009C0B83"/>
    <w:rsid w:val="009C46B3"/>
    <w:rsid w:val="009C4A84"/>
    <w:rsid w:val="009D4786"/>
    <w:rsid w:val="009D624C"/>
    <w:rsid w:val="009D7336"/>
    <w:rsid w:val="009D7504"/>
    <w:rsid w:val="009E066E"/>
    <w:rsid w:val="009E0A74"/>
    <w:rsid w:val="009E45B1"/>
    <w:rsid w:val="009E53F4"/>
    <w:rsid w:val="009F1728"/>
    <w:rsid w:val="009F2CE0"/>
    <w:rsid w:val="009F6C45"/>
    <w:rsid w:val="009F79E2"/>
    <w:rsid w:val="00A035DC"/>
    <w:rsid w:val="00A05D08"/>
    <w:rsid w:val="00A07D35"/>
    <w:rsid w:val="00A106D7"/>
    <w:rsid w:val="00A128DA"/>
    <w:rsid w:val="00A162BE"/>
    <w:rsid w:val="00A20E8C"/>
    <w:rsid w:val="00A2137D"/>
    <w:rsid w:val="00A215B2"/>
    <w:rsid w:val="00A24B37"/>
    <w:rsid w:val="00A25272"/>
    <w:rsid w:val="00A2745C"/>
    <w:rsid w:val="00A27B62"/>
    <w:rsid w:val="00A27DA9"/>
    <w:rsid w:val="00A335F3"/>
    <w:rsid w:val="00A44658"/>
    <w:rsid w:val="00A51769"/>
    <w:rsid w:val="00A566FA"/>
    <w:rsid w:val="00A56C84"/>
    <w:rsid w:val="00A5762D"/>
    <w:rsid w:val="00A60C09"/>
    <w:rsid w:val="00A60CC1"/>
    <w:rsid w:val="00A61B3C"/>
    <w:rsid w:val="00A70E4B"/>
    <w:rsid w:val="00A73443"/>
    <w:rsid w:val="00A7564C"/>
    <w:rsid w:val="00A810DE"/>
    <w:rsid w:val="00A83773"/>
    <w:rsid w:val="00A84256"/>
    <w:rsid w:val="00A91F35"/>
    <w:rsid w:val="00A947E9"/>
    <w:rsid w:val="00A964BA"/>
    <w:rsid w:val="00AA2D3E"/>
    <w:rsid w:val="00AA38C7"/>
    <w:rsid w:val="00AA3CC9"/>
    <w:rsid w:val="00AA54F9"/>
    <w:rsid w:val="00AA597E"/>
    <w:rsid w:val="00AA5D45"/>
    <w:rsid w:val="00AA6F36"/>
    <w:rsid w:val="00AA760F"/>
    <w:rsid w:val="00AA7820"/>
    <w:rsid w:val="00AB01D8"/>
    <w:rsid w:val="00AB4832"/>
    <w:rsid w:val="00AB5975"/>
    <w:rsid w:val="00AC0C6C"/>
    <w:rsid w:val="00AC1C02"/>
    <w:rsid w:val="00AC315D"/>
    <w:rsid w:val="00AC46C3"/>
    <w:rsid w:val="00AD112B"/>
    <w:rsid w:val="00AE0407"/>
    <w:rsid w:val="00AE4D53"/>
    <w:rsid w:val="00AE76BA"/>
    <w:rsid w:val="00AF0F00"/>
    <w:rsid w:val="00AF1119"/>
    <w:rsid w:val="00AF1238"/>
    <w:rsid w:val="00AF2335"/>
    <w:rsid w:val="00AF4076"/>
    <w:rsid w:val="00AF48FD"/>
    <w:rsid w:val="00AF4CE5"/>
    <w:rsid w:val="00AF6D16"/>
    <w:rsid w:val="00AF7857"/>
    <w:rsid w:val="00B01CD1"/>
    <w:rsid w:val="00B03342"/>
    <w:rsid w:val="00B05608"/>
    <w:rsid w:val="00B057A2"/>
    <w:rsid w:val="00B07189"/>
    <w:rsid w:val="00B12767"/>
    <w:rsid w:val="00B173A6"/>
    <w:rsid w:val="00B1799F"/>
    <w:rsid w:val="00B20DA4"/>
    <w:rsid w:val="00B213F9"/>
    <w:rsid w:val="00B2700D"/>
    <w:rsid w:val="00B30808"/>
    <w:rsid w:val="00B3435C"/>
    <w:rsid w:val="00B3461C"/>
    <w:rsid w:val="00B40153"/>
    <w:rsid w:val="00B4167A"/>
    <w:rsid w:val="00B427D4"/>
    <w:rsid w:val="00B42B40"/>
    <w:rsid w:val="00B43DE6"/>
    <w:rsid w:val="00B44A63"/>
    <w:rsid w:val="00B4613B"/>
    <w:rsid w:val="00B53010"/>
    <w:rsid w:val="00B537F5"/>
    <w:rsid w:val="00B54072"/>
    <w:rsid w:val="00B54416"/>
    <w:rsid w:val="00B5533C"/>
    <w:rsid w:val="00B56D47"/>
    <w:rsid w:val="00B61B6C"/>
    <w:rsid w:val="00B61F4A"/>
    <w:rsid w:val="00B61F83"/>
    <w:rsid w:val="00B72138"/>
    <w:rsid w:val="00B727D0"/>
    <w:rsid w:val="00B73807"/>
    <w:rsid w:val="00B739CF"/>
    <w:rsid w:val="00B74BEF"/>
    <w:rsid w:val="00B7559B"/>
    <w:rsid w:val="00B75923"/>
    <w:rsid w:val="00B7647D"/>
    <w:rsid w:val="00B77029"/>
    <w:rsid w:val="00B775E4"/>
    <w:rsid w:val="00B80DDB"/>
    <w:rsid w:val="00B825C6"/>
    <w:rsid w:val="00B83DBF"/>
    <w:rsid w:val="00B86CA3"/>
    <w:rsid w:val="00B902FF"/>
    <w:rsid w:val="00B90909"/>
    <w:rsid w:val="00B90D75"/>
    <w:rsid w:val="00B91178"/>
    <w:rsid w:val="00B937A9"/>
    <w:rsid w:val="00B95B0F"/>
    <w:rsid w:val="00B97E6B"/>
    <w:rsid w:val="00BA056A"/>
    <w:rsid w:val="00BA0A32"/>
    <w:rsid w:val="00BA0F17"/>
    <w:rsid w:val="00BA2D32"/>
    <w:rsid w:val="00BA35FD"/>
    <w:rsid w:val="00BA6D2F"/>
    <w:rsid w:val="00BB00B4"/>
    <w:rsid w:val="00BB15ED"/>
    <w:rsid w:val="00BB16D3"/>
    <w:rsid w:val="00BB1D6D"/>
    <w:rsid w:val="00BB4729"/>
    <w:rsid w:val="00BB5159"/>
    <w:rsid w:val="00BB678D"/>
    <w:rsid w:val="00BC1345"/>
    <w:rsid w:val="00BC3D7A"/>
    <w:rsid w:val="00BC4734"/>
    <w:rsid w:val="00BC6F0C"/>
    <w:rsid w:val="00BD1DF1"/>
    <w:rsid w:val="00BD2B5C"/>
    <w:rsid w:val="00BD2E1A"/>
    <w:rsid w:val="00BD468B"/>
    <w:rsid w:val="00BD4CEC"/>
    <w:rsid w:val="00BE0E19"/>
    <w:rsid w:val="00BE1F96"/>
    <w:rsid w:val="00BE4445"/>
    <w:rsid w:val="00BE5353"/>
    <w:rsid w:val="00BF3410"/>
    <w:rsid w:val="00C00296"/>
    <w:rsid w:val="00C00717"/>
    <w:rsid w:val="00C04582"/>
    <w:rsid w:val="00C04ADA"/>
    <w:rsid w:val="00C0571F"/>
    <w:rsid w:val="00C10D5F"/>
    <w:rsid w:val="00C12DE9"/>
    <w:rsid w:val="00C17066"/>
    <w:rsid w:val="00C207AE"/>
    <w:rsid w:val="00C250F0"/>
    <w:rsid w:val="00C26836"/>
    <w:rsid w:val="00C27F64"/>
    <w:rsid w:val="00C35052"/>
    <w:rsid w:val="00C4152C"/>
    <w:rsid w:val="00C42671"/>
    <w:rsid w:val="00C43109"/>
    <w:rsid w:val="00C43685"/>
    <w:rsid w:val="00C43805"/>
    <w:rsid w:val="00C440C4"/>
    <w:rsid w:val="00C4539A"/>
    <w:rsid w:val="00C457DD"/>
    <w:rsid w:val="00C5121A"/>
    <w:rsid w:val="00C55C6B"/>
    <w:rsid w:val="00C6014A"/>
    <w:rsid w:val="00C6264F"/>
    <w:rsid w:val="00C63874"/>
    <w:rsid w:val="00C63A08"/>
    <w:rsid w:val="00C65AC0"/>
    <w:rsid w:val="00C700A2"/>
    <w:rsid w:val="00C726CF"/>
    <w:rsid w:val="00C77292"/>
    <w:rsid w:val="00C90A02"/>
    <w:rsid w:val="00C9102C"/>
    <w:rsid w:val="00C93394"/>
    <w:rsid w:val="00C965B3"/>
    <w:rsid w:val="00C97317"/>
    <w:rsid w:val="00C9788E"/>
    <w:rsid w:val="00CA36C3"/>
    <w:rsid w:val="00CA611E"/>
    <w:rsid w:val="00CA6748"/>
    <w:rsid w:val="00CB0E70"/>
    <w:rsid w:val="00CB2568"/>
    <w:rsid w:val="00CB45DB"/>
    <w:rsid w:val="00CB4786"/>
    <w:rsid w:val="00CB717C"/>
    <w:rsid w:val="00CC089B"/>
    <w:rsid w:val="00CC27A8"/>
    <w:rsid w:val="00CC443C"/>
    <w:rsid w:val="00CC4640"/>
    <w:rsid w:val="00CC62D5"/>
    <w:rsid w:val="00CC6F4D"/>
    <w:rsid w:val="00CC707D"/>
    <w:rsid w:val="00CD39C6"/>
    <w:rsid w:val="00CD7467"/>
    <w:rsid w:val="00CD7ABC"/>
    <w:rsid w:val="00CE1070"/>
    <w:rsid w:val="00CE3A8E"/>
    <w:rsid w:val="00CE3F55"/>
    <w:rsid w:val="00CF6D86"/>
    <w:rsid w:val="00D00579"/>
    <w:rsid w:val="00D029EA"/>
    <w:rsid w:val="00D03257"/>
    <w:rsid w:val="00D04138"/>
    <w:rsid w:val="00D05615"/>
    <w:rsid w:val="00D07824"/>
    <w:rsid w:val="00D07E6B"/>
    <w:rsid w:val="00D17032"/>
    <w:rsid w:val="00D171F4"/>
    <w:rsid w:val="00D210A7"/>
    <w:rsid w:val="00D22C45"/>
    <w:rsid w:val="00D25085"/>
    <w:rsid w:val="00D32C95"/>
    <w:rsid w:val="00D349B1"/>
    <w:rsid w:val="00D37394"/>
    <w:rsid w:val="00D37937"/>
    <w:rsid w:val="00D4376C"/>
    <w:rsid w:val="00D479C2"/>
    <w:rsid w:val="00D50F46"/>
    <w:rsid w:val="00D541FC"/>
    <w:rsid w:val="00D63BF0"/>
    <w:rsid w:val="00D7073C"/>
    <w:rsid w:val="00D72511"/>
    <w:rsid w:val="00D72FEE"/>
    <w:rsid w:val="00D75249"/>
    <w:rsid w:val="00D7691B"/>
    <w:rsid w:val="00D814F2"/>
    <w:rsid w:val="00D81504"/>
    <w:rsid w:val="00D81ECA"/>
    <w:rsid w:val="00D8253A"/>
    <w:rsid w:val="00D82989"/>
    <w:rsid w:val="00D87C18"/>
    <w:rsid w:val="00D90B46"/>
    <w:rsid w:val="00D9221A"/>
    <w:rsid w:val="00D94F2E"/>
    <w:rsid w:val="00D9612A"/>
    <w:rsid w:val="00D97AF9"/>
    <w:rsid w:val="00DA029F"/>
    <w:rsid w:val="00DA0308"/>
    <w:rsid w:val="00DA2F46"/>
    <w:rsid w:val="00DA3BB8"/>
    <w:rsid w:val="00DA49F2"/>
    <w:rsid w:val="00DA50C6"/>
    <w:rsid w:val="00DB3E2B"/>
    <w:rsid w:val="00DB53D2"/>
    <w:rsid w:val="00DB63E2"/>
    <w:rsid w:val="00DC0BDA"/>
    <w:rsid w:val="00DC230D"/>
    <w:rsid w:val="00DC4D1B"/>
    <w:rsid w:val="00DC567B"/>
    <w:rsid w:val="00DD11C8"/>
    <w:rsid w:val="00DD3A6A"/>
    <w:rsid w:val="00DD3E5B"/>
    <w:rsid w:val="00DD792F"/>
    <w:rsid w:val="00DE715F"/>
    <w:rsid w:val="00DF0E6C"/>
    <w:rsid w:val="00DF42DD"/>
    <w:rsid w:val="00E07CA8"/>
    <w:rsid w:val="00E11B27"/>
    <w:rsid w:val="00E12DEC"/>
    <w:rsid w:val="00E13B8E"/>
    <w:rsid w:val="00E14244"/>
    <w:rsid w:val="00E16BE6"/>
    <w:rsid w:val="00E175A2"/>
    <w:rsid w:val="00E211C6"/>
    <w:rsid w:val="00E2126C"/>
    <w:rsid w:val="00E2289E"/>
    <w:rsid w:val="00E23AC5"/>
    <w:rsid w:val="00E275E0"/>
    <w:rsid w:val="00E34237"/>
    <w:rsid w:val="00E36B3F"/>
    <w:rsid w:val="00E40D2A"/>
    <w:rsid w:val="00E40DB3"/>
    <w:rsid w:val="00E43134"/>
    <w:rsid w:val="00E47107"/>
    <w:rsid w:val="00E519BA"/>
    <w:rsid w:val="00E51EBD"/>
    <w:rsid w:val="00E550A4"/>
    <w:rsid w:val="00E56ADC"/>
    <w:rsid w:val="00E6065B"/>
    <w:rsid w:val="00E60EAD"/>
    <w:rsid w:val="00E63133"/>
    <w:rsid w:val="00E72B33"/>
    <w:rsid w:val="00E72E47"/>
    <w:rsid w:val="00E73B77"/>
    <w:rsid w:val="00E74AA3"/>
    <w:rsid w:val="00E74F46"/>
    <w:rsid w:val="00E753AC"/>
    <w:rsid w:val="00E76C1E"/>
    <w:rsid w:val="00E76E93"/>
    <w:rsid w:val="00E77B8D"/>
    <w:rsid w:val="00E80CBF"/>
    <w:rsid w:val="00E8103B"/>
    <w:rsid w:val="00E8163C"/>
    <w:rsid w:val="00E8594F"/>
    <w:rsid w:val="00E86E98"/>
    <w:rsid w:val="00E87FC9"/>
    <w:rsid w:val="00E9052D"/>
    <w:rsid w:val="00E949B7"/>
    <w:rsid w:val="00E9793A"/>
    <w:rsid w:val="00EA1819"/>
    <w:rsid w:val="00EA20BF"/>
    <w:rsid w:val="00EA3FF4"/>
    <w:rsid w:val="00EA7DE6"/>
    <w:rsid w:val="00EB1632"/>
    <w:rsid w:val="00EB27D0"/>
    <w:rsid w:val="00EB45E8"/>
    <w:rsid w:val="00EB579A"/>
    <w:rsid w:val="00EB5FD4"/>
    <w:rsid w:val="00EC0B41"/>
    <w:rsid w:val="00EC0DD6"/>
    <w:rsid w:val="00EC4458"/>
    <w:rsid w:val="00ED4609"/>
    <w:rsid w:val="00ED4EAE"/>
    <w:rsid w:val="00ED545B"/>
    <w:rsid w:val="00EE5505"/>
    <w:rsid w:val="00EE5B32"/>
    <w:rsid w:val="00EE6833"/>
    <w:rsid w:val="00EE745F"/>
    <w:rsid w:val="00EF1611"/>
    <w:rsid w:val="00EF2C22"/>
    <w:rsid w:val="00EF51FF"/>
    <w:rsid w:val="00EF6F5F"/>
    <w:rsid w:val="00EF73BF"/>
    <w:rsid w:val="00F005B4"/>
    <w:rsid w:val="00F01130"/>
    <w:rsid w:val="00F053FF"/>
    <w:rsid w:val="00F10DA5"/>
    <w:rsid w:val="00F14D6E"/>
    <w:rsid w:val="00F21524"/>
    <w:rsid w:val="00F31BCF"/>
    <w:rsid w:val="00F32EFB"/>
    <w:rsid w:val="00F34CF8"/>
    <w:rsid w:val="00F371E9"/>
    <w:rsid w:val="00F37CA9"/>
    <w:rsid w:val="00F41CF8"/>
    <w:rsid w:val="00F43B9E"/>
    <w:rsid w:val="00F467CB"/>
    <w:rsid w:val="00F47059"/>
    <w:rsid w:val="00F501B6"/>
    <w:rsid w:val="00F51352"/>
    <w:rsid w:val="00F536B5"/>
    <w:rsid w:val="00F54246"/>
    <w:rsid w:val="00F54499"/>
    <w:rsid w:val="00F5475C"/>
    <w:rsid w:val="00F56F72"/>
    <w:rsid w:val="00F61778"/>
    <w:rsid w:val="00F63ADF"/>
    <w:rsid w:val="00F64452"/>
    <w:rsid w:val="00F64F77"/>
    <w:rsid w:val="00F721D6"/>
    <w:rsid w:val="00F75893"/>
    <w:rsid w:val="00F75A1C"/>
    <w:rsid w:val="00F76D51"/>
    <w:rsid w:val="00F82BED"/>
    <w:rsid w:val="00F862F7"/>
    <w:rsid w:val="00F86F3C"/>
    <w:rsid w:val="00F94B49"/>
    <w:rsid w:val="00F94FCB"/>
    <w:rsid w:val="00FA0D38"/>
    <w:rsid w:val="00FA2EC9"/>
    <w:rsid w:val="00FB02E7"/>
    <w:rsid w:val="00FB1FFB"/>
    <w:rsid w:val="00FB3D8D"/>
    <w:rsid w:val="00FC0D82"/>
    <w:rsid w:val="00FD013F"/>
    <w:rsid w:val="00FD125A"/>
    <w:rsid w:val="00FD1E06"/>
    <w:rsid w:val="00FD5FA0"/>
    <w:rsid w:val="00FE320C"/>
    <w:rsid w:val="00FE37A4"/>
    <w:rsid w:val="00FE638A"/>
    <w:rsid w:val="00FE7AA2"/>
    <w:rsid w:val="00FE7B04"/>
    <w:rsid w:val="00FF20BC"/>
    <w:rsid w:val="00FF42DC"/>
    <w:rsid w:val="00FF5532"/>
    <w:rsid w:val="00FF7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122"/>
  </w:style>
  <w:style w:type="paragraph" w:styleId="Footer">
    <w:name w:val="footer"/>
    <w:basedOn w:val="Normal"/>
    <w:link w:val="FooterChar"/>
    <w:uiPriority w:val="99"/>
    <w:unhideWhenUsed/>
    <w:rsid w:val="006C7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22"/>
  </w:style>
  <w:style w:type="paragraph" w:styleId="BalloonText">
    <w:name w:val="Balloon Text"/>
    <w:basedOn w:val="Normal"/>
    <w:link w:val="BalloonTextChar"/>
    <w:uiPriority w:val="99"/>
    <w:semiHidden/>
    <w:unhideWhenUsed/>
    <w:rsid w:val="006C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122"/>
    <w:rPr>
      <w:rFonts w:ascii="Tahoma" w:hAnsi="Tahoma" w:cs="Tahoma"/>
      <w:sz w:val="16"/>
      <w:szCs w:val="16"/>
    </w:rPr>
  </w:style>
  <w:style w:type="paragraph" w:customStyle="1" w:styleId="AgriwatchBlackBold">
    <w:name w:val="Agriwatch Black Bold"/>
    <w:basedOn w:val="Normal"/>
    <w:rsid w:val="00BB15ED"/>
    <w:pPr>
      <w:spacing w:after="0" w:line="240" w:lineRule="auto"/>
    </w:pPr>
    <w:rPr>
      <w:rFonts w:ascii="Microsoft Sans Serif" w:eastAsia="Times New Roman" w:hAnsi="Microsoft Sans Serif" w:cs="Times New Roman"/>
      <w:b/>
      <w:color w:val="000000"/>
      <w:sz w:val="20"/>
      <w:szCs w:val="24"/>
    </w:rPr>
  </w:style>
  <w:style w:type="paragraph" w:customStyle="1" w:styleId="AgriwatchBody">
    <w:name w:val="Agriwatch Body"/>
    <w:basedOn w:val="Normal"/>
    <w:rsid w:val="00BB15ED"/>
    <w:pPr>
      <w:spacing w:after="80" w:line="240" w:lineRule="auto"/>
      <w:jc w:val="both"/>
    </w:pPr>
    <w:rPr>
      <w:rFonts w:ascii="Verdana" w:eastAsia="Times New Roman" w:hAnsi="Verdana" w:cs="Microsoft Sans Serif"/>
      <w:b/>
      <w:bCs/>
      <w:sz w:val="18"/>
      <w:szCs w:val="20"/>
      <w:lang w:val="en-GB"/>
    </w:rPr>
  </w:style>
  <w:style w:type="character" w:styleId="Hyperlink">
    <w:name w:val="Hyperlink"/>
    <w:rsid w:val="00BB15ED"/>
    <w:rPr>
      <w:strike w:val="0"/>
      <w:dstrike w:val="0"/>
      <w:color w:val="000000"/>
      <w:u w:val="none"/>
      <w:effect w:val="none"/>
    </w:rPr>
  </w:style>
  <w:style w:type="paragraph" w:customStyle="1" w:styleId="AgriwatchTable">
    <w:name w:val="Agriwatch Table"/>
    <w:basedOn w:val="Normal"/>
    <w:rsid w:val="00346D86"/>
    <w:pPr>
      <w:spacing w:before="40" w:after="40" w:line="240" w:lineRule="auto"/>
    </w:pPr>
    <w:rPr>
      <w:rFonts w:ascii="Microsoft Sans Serif" w:eastAsia="Times New Roman" w:hAnsi="Microsoft Sans Serif" w:cs="Times New Roman"/>
      <w:sz w:val="18"/>
      <w:szCs w:val="20"/>
      <w:lang w:val="en-GB"/>
    </w:rPr>
  </w:style>
  <w:style w:type="paragraph" w:styleId="ListParagraph">
    <w:name w:val="List Paragraph"/>
    <w:basedOn w:val="Normal"/>
    <w:uiPriority w:val="34"/>
    <w:qFormat/>
    <w:rsid w:val="00964D3C"/>
    <w:pPr>
      <w:ind w:left="720"/>
      <w:contextualSpacing/>
    </w:pPr>
  </w:style>
  <w:style w:type="table" w:styleId="TableGrid">
    <w:name w:val="Table Grid"/>
    <w:basedOn w:val="TableNormal"/>
    <w:uiPriority w:val="59"/>
    <w:rsid w:val="00A56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7A64"/>
    <w:rPr>
      <w:sz w:val="16"/>
      <w:szCs w:val="16"/>
    </w:rPr>
  </w:style>
  <w:style w:type="paragraph" w:styleId="CommentText">
    <w:name w:val="annotation text"/>
    <w:basedOn w:val="Normal"/>
    <w:link w:val="CommentTextChar"/>
    <w:uiPriority w:val="99"/>
    <w:semiHidden/>
    <w:unhideWhenUsed/>
    <w:rsid w:val="00467A64"/>
    <w:pPr>
      <w:spacing w:line="240" w:lineRule="auto"/>
    </w:pPr>
    <w:rPr>
      <w:sz w:val="20"/>
      <w:szCs w:val="20"/>
    </w:rPr>
  </w:style>
  <w:style w:type="character" w:customStyle="1" w:styleId="CommentTextChar">
    <w:name w:val="Comment Text Char"/>
    <w:basedOn w:val="DefaultParagraphFont"/>
    <w:link w:val="CommentText"/>
    <w:uiPriority w:val="99"/>
    <w:semiHidden/>
    <w:rsid w:val="00467A64"/>
    <w:rPr>
      <w:sz w:val="20"/>
      <w:szCs w:val="20"/>
    </w:rPr>
  </w:style>
  <w:style w:type="paragraph" w:styleId="CommentSubject">
    <w:name w:val="annotation subject"/>
    <w:basedOn w:val="CommentText"/>
    <w:next w:val="CommentText"/>
    <w:link w:val="CommentSubjectChar"/>
    <w:uiPriority w:val="99"/>
    <w:semiHidden/>
    <w:unhideWhenUsed/>
    <w:rsid w:val="00467A64"/>
    <w:rPr>
      <w:b/>
      <w:bCs/>
    </w:rPr>
  </w:style>
  <w:style w:type="character" w:customStyle="1" w:styleId="CommentSubjectChar">
    <w:name w:val="Comment Subject Char"/>
    <w:basedOn w:val="CommentTextChar"/>
    <w:link w:val="CommentSubject"/>
    <w:uiPriority w:val="99"/>
    <w:semiHidden/>
    <w:rsid w:val="00467A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78534">
      <w:bodyDiv w:val="1"/>
      <w:marLeft w:val="0"/>
      <w:marRight w:val="0"/>
      <w:marTop w:val="0"/>
      <w:marBottom w:val="0"/>
      <w:divBdr>
        <w:top w:val="none" w:sz="0" w:space="0" w:color="auto"/>
        <w:left w:val="none" w:sz="0" w:space="0" w:color="auto"/>
        <w:bottom w:val="none" w:sz="0" w:space="0" w:color="auto"/>
        <w:right w:val="none" w:sz="0" w:space="0" w:color="auto"/>
      </w:divBdr>
    </w:div>
    <w:div w:id="207303389">
      <w:bodyDiv w:val="1"/>
      <w:marLeft w:val="0"/>
      <w:marRight w:val="0"/>
      <w:marTop w:val="0"/>
      <w:marBottom w:val="0"/>
      <w:divBdr>
        <w:top w:val="none" w:sz="0" w:space="0" w:color="auto"/>
        <w:left w:val="none" w:sz="0" w:space="0" w:color="auto"/>
        <w:bottom w:val="none" w:sz="0" w:space="0" w:color="auto"/>
        <w:right w:val="none" w:sz="0" w:space="0" w:color="auto"/>
      </w:divBdr>
    </w:div>
    <w:div w:id="322394672">
      <w:bodyDiv w:val="1"/>
      <w:marLeft w:val="0"/>
      <w:marRight w:val="0"/>
      <w:marTop w:val="0"/>
      <w:marBottom w:val="0"/>
      <w:divBdr>
        <w:top w:val="none" w:sz="0" w:space="0" w:color="auto"/>
        <w:left w:val="none" w:sz="0" w:space="0" w:color="auto"/>
        <w:bottom w:val="none" w:sz="0" w:space="0" w:color="auto"/>
        <w:right w:val="none" w:sz="0" w:space="0" w:color="auto"/>
      </w:divBdr>
    </w:div>
    <w:div w:id="432483395">
      <w:bodyDiv w:val="1"/>
      <w:marLeft w:val="0"/>
      <w:marRight w:val="0"/>
      <w:marTop w:val="0"/>
      <w:marBottom w:val="0"/>
      <w:divBdr>
        <w:top w:val="none" w:sz="0" w:space="0" w:color="auto"/>
        <w:left w:val="none" w:sz="0" w:space="0" w:color="auto"/>
        <w:bottom w:val="none" w:sz="0" w:space="0" w:color="auto"/>
        <w:right w:val="none" w:sz="0" w:space="0" w:color="auto"/>
      </w:divBdr>
    </w:div>
    <w:div w:id="465901469">
      <w:bodyDiv w:val="1"/>
      <w:marLeft w:val="0"/>
      <w:marRight w:val="0"/>
      <w:marTop w:val="0"/>
      <w:marBottom w:val="0"/>
      <w:divBdr>
        <w:top w:val="none" w:sz="0" w:space="0" w:color="auto"/>
        <w:left w:val="none" w:sz="0" w:space="0" w:color="auto"/>
        <w:bottom w:val="none" w:sz="0" w:space="0" w:color="auto"/>
        <w:right w:val="none" w:sz="0" w:space="0" w:color="auto"/>
      </w:divBdr>
    </w:div>
    <w:div w:id="765198997">
      <w:bodyDiv w:val="1"/>
      <w:marLeft w:val="0"/>
      <w:marRight w:val="0"/>
      <w:marTop w:val="0"/>
      <w:marBottom w:val="0"/>
      <w:divBdr>
        <w:top w:val="none" w:sz="0" w:space="0" w:color="auto"/>
        <w:left w:val="none" w:sz="0" w:space="0" w:color="auto"/>
        <w:bottom w:val="none" w:sz="0" w:space="0" w:color="auto"/>
        <w:right w:val="none" w:sz="0" w:space="0" w:color="auto"/>
      </w:divBdr>
    </w:div>
    <w:div w:id="952638629">
      <w:bodyDiv w:val="1"/>
      <w:marLeft w:val="0"/>
      <w:marRight w:val="0"/>
      <w:marTop w:val="0"/>
      <w:marBottom w:val="0"/>
      <w:divBdr>
        <w:top w:val="none" w:sz="0" w:space="0" w:color="auto"/>
        <w:left w:val="none" w:sz="0" w:space="0" w:color="auto"/>
        <w:bottom w:val="none" w:sz="0" w:space="0" w:color="auto"/>
        <w:right w:val="none" w:sz="0" w:space="0" w:color="auto"/>
      </w:divBdr>
    </w:div>
    <w:div w:id="1338774976">
      <w:bodyDiv w:val="1"/>
      <w:marLeft w:val="0"/>
      <w:marRight w:val="0"/>
      <w:marTop w:val="0"/>
      <w:marBottom w:val="0"/>
      <w:divBdr>
        <w:top w:val="none" w:sz="0" w:space="0" w:color="auto"/>
        <w:left w:val="none" w:sz="0" w:space="0" w:color="auto"/>
        <w:bottom w:val="none" w:sz="0" w:space="0" w:color="auto"/>
        <w:right w:val="none" w:sz="0" w:space="0" w:color="auto"/>
      </w:divBdr>
    </w:div>
    <w:div w:id="1347363381">
      <w:bodyDiv w:val="1"/>
      <w:marLeft w:val="0"/>
      <w:marRight w:val="0"/>
      <w:marTop w:val="0"/>
      <w:marBottom w:val="0"/>
      <w:divBdr>
        <w:top w:val="none" w:sz="0" w:space="0" w:color="auto"/>
        <w:left w:val="none" w:sz="0" w:space="0" w:color="auto"/>
        <w:bottom w:val="none" w:sz="0" w:space="0" w:color="auto"/>
        <w:right w:val="none" w:sz="0" w:space="0" w:color="auto"/>
      </w:divBdr>
    </w:div>
    <w:div w:id="1443962264">
      <w:bodyDiv w:val="1"/>
      <w:marLeft w:val="0"/>
      <w:marRight w:val="0"/>
      <w:marTop w:val="0"/>
      <w:marBottom w:val="0"/>
      <w:divBdr>
        <w:top w:val="none" w:sz="0" w:space="0" w:color="auto"/>
        <w:left w:val="none" w:sz="0" w:space="0" w:color="auto"/>
        <w:bottom w:val="none" w:sz="0" w:space="0" w:color="auto"/>
        <w:right w:val="none" w:sz="0" w:space="0" w:color="auto"/>
      </w:divBdr>
    </w:div>
    <w:div w:id="1626345354">
      <w:bodyDiv w:val="1"/>
      <w:marLeft w:val="0"/>
      <w:marRight w:val="0"/>
      <w:marTop w:val="0"/>
      <w:marBottom w:val="0"/>
      <w:divBdr>
        <w:top w:val="none" w:sz="0" w:space="0" w:color="auto"/>
        <w:left w:val="none" w:sz="0" w:space="0" w:color="auto"/>
        <w:bottom w:val="none" w:sz="0" w:space="0" w:color="auto"/>
        <w:right w:val="none" w:sz="0" w:space="0" w:color="auto"/>
      </w:divBdr>
    </w:div>
    <w:div w:id="1694066726">
      <w:bodyDiv w:val="1"/>
      <w:marLeft w:val="0"/>
      <w:marRight w:val="0"/>
      <w:marTop w:val="0"/>
      <w:marBottom w:val="0"/>
      <w:divBdr>
        <w:top w:val="none" w:sz="0" w:space="0" w:color="auto"/>
        <w:left w:val="none" w:sz="0" w:space="0" w:color="auto"/>
        <w:bottom w:val="none" w:sz="0" w:space="0" w:color="auto"/>
        <w:right w:val="none" w:sz="0" w:space="0" w:color="auto"/>
      </w:divBdr>
    </w:div>
    <w:div w:id="2010793899">
      <w:bodyDiv w:val="1"/>
      <w:marLeft w:val="0"/>
      <w:marRight w:val="0"/>
      <w:marTop w:val="0"/>
      <w:marBottom w:val="0"/>
      <w:divBdr>
        <w:top w:val="none" w:sz="0" w:space="0" w:color="auto"/>
        <w:left w:val="none" w:sz="0" w:space="0" w:color="auto"/>
        <w:bottom w:val="none" w:sz="0" w:space="0" w:color="auto"/>
        <w:right w:val="none" w:sz="0" w:space="0" w:color="auto"/>
      </w:divBdr>
    </w:div>
    <w:div w:id="20533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griwatch.com/Disclaimer.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Soybean%20Crush%20Marg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ilseedsSpotPriceShe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achin10.USER10\Desktop\OilseedsSpotPrice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400"/>
            </a:pPr>
            <a:r>
              <a:rPr lang="en-US" sz="1400"/>
              <a:t>Soybean Prices Vs Crush Margin</a:t>
            </a:r>
          </a:p>
        </c:rich>
      </c:tx>
    </c:title>
    <c:plotArea>
      <c:layout/>
      <c:lineChart>
        <c:grouping val="standard"/>
        <c:ser>
          <c:idx val="0"/>
          <c:order val="0"/>
          <c:tx>
            <c:strRef>
              <c:f>CrushMarginCharts!$B$40</c:f>
              <c:strCache>
                <c:ptCount val="1"/>
                <c:pt idx="0">
                  <c:v>Avg Soybean Price</c:v>
                </c:pt>
              </c:strCache>
            </c:strRef>
          </c:tx>
          <c:marker>
            <c:symbol val="none"/>
          </c:marker>
          <c:cat>
            <c:numRef>
              <c:f>CrushMarginCharts!$A$41:$A$79</c:f>
              <c:numCache>
                <c:formatCode>mmm\-yy</c:formatCode>
                <c:ptCount val="39"/>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numCache>
            </c:numRef>
          </c:cat>
          <c:val>
            <c:numRef>
              <c:f>CrushMarginCharts!$B$41:$B$79</c:f>
              <c:numCache>
                <c:formatCode>0</c:formatCode>
                <c:ptCount val="39"/>
                <c:pt idx="0">
                  <c:v>22292.105259999953</c:v>
                </c:pt>
                <c:pt idx="1">
                  <c:v>21669.230769999962</c:v>
                </c:pt>
                <c:pt idx="2">
                  <c:v>23247.22222</c:v>
                </c:pt>
                <c:pt idx="3">
                  <c:v>25861</c:v>
                </c:pt>
                <c:pt idx="4">
                  <c:v>27002.777780000029</c:v>
                </c:pt>
                <c:pt idx="5">
                  <c:v>26167.708330000001</c:v>
                </c:pt>
                <c:pt idx="6">
                  <c:v>23631.25</c:v>
                </c:pt>
                <c:pt idx="7">
                  <c:v>16926.041669999966</c:v>
                </c:pt>
                <c:pt idx="8">
                  <c:v>16240.869570000001</c:v>
                </c:pt>
                <c:pt idx="9">
                  <c:v>18026.153849999992</c:v>
                </c:pt>
                <c:pt idx="10">
                  <c:v>22253.07692</c:v>
                </c:pt>
                <c:pt idx="11">
                  <c:v>23213.043480000029</c:v>
                </c:pt>
                <c:pt idx="12">
                  <c:v>23192</c:v>
                </c:pt>
                <c:pt idx="13">
                  <c:v>25485.833329999961</c:v>
                </c:pt>
                <c:pt idx="14">
                  <c:v>26595.925930000001</c:v>
                </c:pt>
                <c:pt idx="15">
                  <c:v>25045.769230000002</c:v>
                </c:pt>
                <c:pt idx="16">
                  <c:v>22536.296300000005</c:v>
                </c:pt>
                <c:pt idx="17">
                  <c:v>23140.625</c:v>
                </c:pt>
                <c:pt idx="18">
                  <c:v>20168</c:v>
                </c:pt>
                <c:pt idx="19">
                  <c:v>20623.400000000001</c:v>
                </c:pt>
                <c:pt idx="20">
                  <c:v>23121</c:v>
                </c:pt>
                <c:pt idx="21">
                  <c:v>23590</c:v>
                </c:pt>
                <c:pt idx="22">
                  <c:v>22061.95652</c:v>
                </c:pt>
                <c:pt idx="23">
                  <c:v>21030.434780000021</c:v>
                </c:pt>
                <c:pt idx="24">
                  <c:v>20253</c:v>
                </c:pt>
                <c:pt idx="25">
                  <c:v>19733.653849999992</c:v>
                </c:pt>
                <c:pt idx="26">
                  <c:v>19651.923080000033</c:v>
                </c:pt>
                <c:pt idx="27">
                  <c:v>19029.807690000001</c:v>
                </c:pt>
                <c:pt idx="28">
                  <c:v>19545.192309999962</c:v>
                </c:pt>
                <c:pt idx="29">
                  <c:v>20600.96154</c:v>
                </c:pt>
                <c:pt idx="30">
                  <c:v>20235.185190000029</c:v>
                </c:pt>
                <c:pt idx="31">
                  <c:v>21052.586210000001</c:v>
                </c:pt>
                <c:pt idx="32">
                  <c:v>22125.925930000001</c:v>
                </c:pt>
                <c:pt idx="33">
                  <c:v>22219.64286</c:v>
                </c:pt>
                <c:pt idx="34">
                  <c:v>23720.370369999957</c:v>
                </c:pt>
                <c:pt idx="35">
                  <c:v>24455.263159999999</c:v>
                </c:pt>
                <c:pt idx="36">
                  <c:v>23414</c:v>
                </c:pt>
                <c:pt idx="37">
                  <c:v>23704</c:v>
                </c:pt>
                <c:pt idx="38">
                  <c:v>23339</c:v>
                </c:pt>
              </c:numCache>
            </c:numRef>
          </c:val>
          <c:smooth val="1"/>
        </c:ser>
        <c:marker val="1"/>
        <c:axId val="126456576"/>
        <c:axId val="126459264"/>
      </c:lineChart>
      <c:lineChart>
        <c:grouping val="standard"/>
        <c:ser>
          <c:idx val="1"/>
          <c:order val="1"/>
          <c:tx>
            <c:strRef>
              <c:f>CrushMarginCharts!$C$40</c:f>
              <c:strCache>
                <c:ptCount val="1"/>
                <c:pt idx="0">
                  <c:v>Avg Net Crush Margin</c:v>
                </c:pt>
              </c:strCache>
            </c:strRef>
          </c:tx>
          <c:marker>
            <c:symbol val="none"/>
          </c:marker>
          <c:cat>
            <c:numRef>
              <c:f>CrushMarginCharts!$A$41:$A$79</c:f>
              <c:numCache>
                <c:formatCode>mmm\-yy</c:formatCode>
                <c:ptCount val="39"/>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numCache>
            </c:numRef>
          </c:cat>
          <c:val>
            <c:numRef>
              <c:f>CrushMarginCharts!$C$41:$C$79</c:f>
              <c:numCache>
                <c:formatCode>0.00</c:formatCode>
                <c:ptCount val="39"/>
                <c:pt idx="0">
                  <c:v>163.57894740000029</c:v>
                </c:pt>
                <c:pt idx="1">
                  <c:v>191.8461538</c:v>
                </c:pt>
                <c:pt idx="2">
                  <c:v>436.92592589999964</c:v>
                </c:pt>
                <c:pt idx="3">
                  <c:v>717.88</c:v>
                </c:pt>
                <c:pt idx="4">
                  <c:v>109.88888889999976</c:v>
                </c:pt>
                <c:pt idx="5">
                  <c:v>-85.124999999999986</c:v>
                </c:pt>
                <c:pt idx="6">
                  <c:v>438.41666669999995</c:v>
                </c:pt>
                <c:pt idx="7">
                  <c:v>1542.325</c:v>
                </c:pt>
                <c:pt idx="8">
                  <c:v>884.95652169999835</c:v>
                </c:pt>
                <c:pt idx="9">
                  <c:v>214.1538462</c:v>
                </c:pt>
                <c:pt idx="10">
                  <c:v>-160.8461538</c:v>
                </c:pt>
                <c:pt idx="11">
                  <c:v>329.39130429999943</c:v>
                </c:pt>
                <c:pt idx="12">
                  <c:v>368.32</c:v>
                </c:pt>
                <c:pt idx="13">
                  <c:v>-173.58333329999999</c:v>
                </c:pt>
                <c:pt idx="14">
                  <c:v>-227.55555559999974</c:v>
                </c:pt>
                <c:pt idx="15">
                  <c:v>-61.38461538</c:v>
                </c:pt>
                <c:pt idx="16">
                  <c:v>141.11111109999999</c:v>
                </c:pt>
                <c:pt idx="17">
                  <c:v>172.29166669999998</c:v>
                </c:pt>
                <c:pt idx="18">
                  <c:v>621.91999999999996</c:v>
                </c:pt>
                <c:pt idx="19">
                  <c:v>-99.64</c:v>
                </c:pt>
                <c:pt idx="20">
                  <c:v>-157.32000000000025</c:v>
                </c:pt>
                <c:pt idx="21">
                  <c:v>-317.68</c:v>
                </c:pt>
                <c:pt idx="22">
                  <c:v>-193</c:v>
                </c:pt>
                <c:pt idx="23">
                  <c:v>-176.26086959999998</c:v>
                </c:pt>
                <c:pt idx="24">
                  <c:v>-71.239999999999995</c:v>
                </c:pt>
                <c:pt idx="25">
                  <c:v>-205.03846150000001</c:v>
                </c:pt>
                <c:pt idx="26">
                  <c:v>-404.23076919999994</c:v>
                </c:pt>
                <c:pt idx="27">
                  <c:v>-54.34615385</c:v>
                </c:pt>
                <c:pt idx="28">
                  <c:v>-74.42307692</c:v>
                </c:pt>
                <c:pt idx="29">
                  <c:v>-122.0384615</c:v>
                </c:pt>
                <c:pt idx="30">
                  <c:v>19.555555559999988</c:v>
                </c:pt>
                <c:pt idx="31">
                  <c:v>383.34482760000083</c:v>
                </c:pt>
                <c:pt idx="32">
                  <c:v>299.18518519999998</c:v>
                </c:pt>
                <c:pt idx="33">
                  <c:v>239.57142860000025</c:v>
                </c:pt>
                <c:pt idx="34">
                  <c:v>61.288888890000003</c:v>
                </c:pt>
                <c:pt idx="35">
                  <c:v>-324</c:v>
                </c:pt>
                <c:pt idx="36">
                  <c:v>-213</c:v>
                </c:pt>
                <c:pt idx="37">
                  <c:v>-327</c:v>
                </c:pt>
                <c:pt idx="38">
                  <c:v>-67</c:v>
                </c:pt>
              </c:numCache>
            </c:numRef>
          </c:val>
          <c:smooth val="1"/>
        </c:ser>
        <c:marker val="1"/>
        <c:axId val="126903040"/>
        <c:axId val="126883328"/>
      </c:lineChart>
      <c:dateAx>
        <c:axId val="126456576"/>
        <c:scaling>
          <c:orientation val="minMax"/>
        </c:scaling>
        <c:axPos val="b"/>
        <c:numFmt formatCode="mmm\-yy" sourceLinked="1"/>
        <c:majorTickMark val="none"/>
        <c:tickLblPos val="nextTo"/>
        <c:txPr>
          <a:bodyPr rot="-5400000" vert="horz"/>
          <a:lstStyle/>
          <a:p>
            <a:pPr>
              <a:defRPr lang="en-IN"/>
            </a:pPr>
            <a:endParaRPr lang="en-US"/>
          </a:p>
        </c:txPr>
        <c:crossAx val="126459264"/>
        <c:crosses val="autoZero"/>
        <c:auto val="1"/>
        <c:lblOffset val="100"/>
        <c:baseTimeUnit val="months"/>
      </c:dateAx>
      <c:valAx>
        <c:axId val="126459264"/>
        <c:scaling>
          <c:orientation val="minMax"/>
          <c:min val="5000"/>
        </c:scaling>
        <c:axPos val="l"/>
        <c:majorGridlines/>
        <c:title>
          <c:tx>
            <c:rich>
              <a:bodyPr rot="-5400000" vert="horz"/>
              <a:lstStyle/>
              <a:p>
                <a:pPr>
                  <a:defRPr lang="en-IN" sz="1100"/>
                </a:pPr>
                <a:r>
                  <a:rPr lang="en-US" sz="1100"/>
                  <a:t>Soybean Price Rs/MT</a:t>
                </a:r>
              </a:p>
            </c:rich>
          </c:tx>
        </c:title>
        <c:numFmt formatCode="0" sourceLinked="1"/>
        <c:majorTickMark val="none"/>
        <c:tickLblPos val="nextTo"/>
        <c:txPr>
          <a:bodyPr/>
          <a:lstStyle/>
          <a:p>
            <a:pPr>
              <a:defRPr lang="en-IN"/>
            </a:pPr>
            <a:endParaRPr lang="en-US"/>
          </a:p>
        </c:txPr>
        <c:crossAx val="126456576"/>
        <c:crosses val="autoZero"/>
        <c:crossBetween val="between"/>
        <c:majorUnit val="10000"/>
      </c:valAx>
      <c:valAx>
        <c:axId val="126883328"/>
        <c:scaling>
          <c:orientation val="minMax"/>
        </c:scaling>
        <c:axPos val="r"/>
        <c:title>
          <c:tx>
            <c:rich>
              <a:bodyPr rot="-5400000" vert="horz"/>
              <a:lstStyle/>
              <a:p>
                <a:pPr>
                  <a:defRPr lang="en-IN" sz="1100"/>
                </a:pPr>
                <a:r>
                  <a:rPr lang="en-US" sz="1100"/>
                  <a:t>Crush</a:t>
                </a:r>
                <a:r>
                  <a:rPr lang="en-US" sz="1100" baseline="0"/>
                  <a:t> Margin Rs/MT</a:t>
                </a:r>
                <a:endParaRPr lang="en-US" sz="1100"/>
              </a:p>
            </c:rich>
          </c:tx>
        </c:title>
        <c:numFmt formatCode="0.00" sourceLinked="1"/>
        <c:tickLblPos val="nextTo"/>
        <c:txPr>
          <a:bodyPr/>
          <a:lstStyle/>
          <a:p>
            <a:pPr>
              <a:defRPr lang="en-IN"/>
            </a:pPr>
            <a:endParaRPr lang="en-US"/>
          </a:p>
        </c:txPr>
        <c:crossAx val="126903040"/>
        <c:crosses val="max"/>
        <c:crossBetween val="between"/>
      </c:valAx>
      <c:dateAx>
        <c:axId val="126903040"/>
        <c:scaling>
          <c:orientation val="minMax"/>
        </c:scaling>
        <c:delete val="1"/>
        <c:axPos val="b"/>
        <c:numFmt formatCode="mmm\-yy" sourceLinked="1"/>
        <c:tickLblPos val="nextTo"/>
        <c:crossAx val="126883328"/>
        <c:crosses val="autoZero"/>
        <c:auto val="1"/>
        <c:lblOffset val="100"/>
        <c:baseTimeUnit val="months"/>
      </c:dateAx>
    </c:plotArea>
    <c:legend>
      <c:legendPos val="b"/>
      <c:txPr>
        <a:bodyPr/>
        <a:lstStyle/>
        <a:p>
          <a:pPr>
            <a:defRPr lang="en-IN"/>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100" b="1" i="0" u="none" strike="noStrike" baseline="0">
                <a:solidFill>
                  <a:srgbClr val="000000"/>
                </a:solidFill>
                <a:latin typeface="Calibri"/>
                <a:ea typeface="Calibri"/>
                <a:cs typeface="Calibri"/>
              </a:defRPr>
            </a:pPr>
            <a:r>
              <a:rPr lang="en-US"/>
              <a:t>Soymeal Spread (FAS Kandla-FOB Argentina)</a:t>
            </a:r>
          </a:p>
        </c:rich>
      </c:tx>
    </c:title>
    <c:plotArea>
      <c:layout>
        <c:manualLayout>
          <c:layoutTarget val="inner"/>
          <c:xMode val="edge"/>
          <c:yMode val="edge"/>
          <c:x val="0.1478079615048119"/>
          <c:y val="0.15524314668999775"/>
          <c:w val="0.82719203849519019"/>
          <c:h val="0.60706765820939201"/>
        </c:manualLayout>
      </c:layout>
      <c:lineChart>
        <c:grouping val="standard"/>
        <c:ser>
          <c:idx val="0"/>
          <c:order val="0"/>
          <c:tx>
            <c:strRef>
              <c:f>SpreadSBMKandlaArgen!$G$1</c:f>
              <c:strCache>
                <c:ptCount val="1"/>
                <c:pt idx="0">
                  <c:v>Spread (FAS Kandla-FOB Argentina)</c:v>
                </c:pt>
              </c:strCache>
            </c:strRef>
          </c:tx>
          <c:marker>
            <c:symbol val="none"/>
          </c:marker>
          <c:cat>
            <c:numRef>
              <c:f>SpreadSBMKandlaArgen!$F$2:$F$40</c:f>
              <c:numCache>
                <c:formatCode>mmm\-yy</c:formatCode>
                <c:ptCount val="39"/>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numCache>
            </c:numRef>
          </c:cat>
          <c:val>
            <c:numRef>
              <c:f>SpreadSBMKandlaArgen!$G$2:$G$40</c:f>
              <c:numCache>
                <c:formatCode>0.00</c:formatCode>
                <c:ptCount val="39"/>
                <c:pt idx="0">
                  <c:v>63.376666699999944</c:v>
                </c:pt>
                <c:pt idx="1">
                  <c:v>14.72633329999997</c:v>
                </c:pt>
                <c:pt idx="2">
                  <c:v>-60.360000000000014</c:v>
                </c:pt>
                <c:pt idx="3">
                  <c:v>22.556666699999987</c:v>
                </c:pt>
                <c:pt idx="4">
                  <c:v>40.694909099999961</c:v>
                </c:pt>
                <c:pt idx="5">
                  <c:v>127.59971430000002</c:v>
                </c:pt>
                <c:pt idx="6">
                  <c:v>26.91500000000002</c:v>
                </c:pt>
                <c:pt idx="7">
                  <c:v>-13.271884100000021</c:v>
                </c:pt>
                <c:pt idx="8">
                  <c:v>-23.901547599999976</c:v>
                </c:pt>
                <c:pt idx="9">
                  <c:v>5.4375</c:v>
                </c:pt>
                <c:pt idx="10">
                  <c:v>18.448846199999956</c:v>
                </c:pt>
                <c:pt idx="11">
                  <c:v>23.504047599999979</c:v>
                </c:pt>
                <c:pt idx="12">
                  <c:v>72.489076899999958</c:v>
                </c:pt>
                <c:pt idx="13">
                  <c:v>45.345128200000012</c:v>
                </c:pt>
                <c:pt idx="14">
                  <c:v>43.925000000000011</c:v>
                </c:pt>
                <c:pt idx="15">
                  <c:v>40.107692399999962</c:v>
                </c:pt>
                <c:pt idx="16">
                  <c:v>14.303956200000034</c:v>
                </c:pt>
                <c:pt idx="17">
                  <c:v>15.331425199999956</c:v>
                </c:pt>
                <c:pt idx="18">
                  <c:v>-8.4605929000000177</c:v>
                </c:pt>
                <c:pt idx="19">
                  <c:v>8.471428600000019</c:v>
                </c:pt>
                <c:pt idx="20">
                  <c:v>41.43095240000001</c:v>
                </c:pt>
                <c:pt idx="21">
                  <c:v>58.437368399999968</c:v>
                </c:pt>
                <c:pt idx="22">
                  <c:v>47.710000000000008</c:v>
                </c:pt>
                <c:pt idx="23">
                  <c:v>46.647368400000005</c:v>
                </c:pt>
                <c:pt idx="24">
                  <c:v>89.557213400000236</c:v>
                </c:pt>
                <c:pt idx="25">
                  <c:v>140.80883330000029</c:v>
                </c:pt>
                <c:pt idx="26">
                  <c:v>58.784291499999995</c:v>
                </c:pt>
                <c:pt idx="27">
                  <c:v>36.33011900000001</c:v>
                </c:pt>
                <c:pt idx="28">
                  <c:v>19.534835200000014</c:v>
                </c:pt>
                <c:pt idx="29">
                  <c:v>19.048181800000009</c:v>
                </c:pt>
                <c:pt idx="30">
                  <c:v>10.568636400000004</c:v>
                </c:pt>
                <c:pt idx="31">
                  <c:v>24.846388900000033</c:v>
                </c:pt>
                <c:pt idx="32">
                  <c:v>11.287833300000001</c:v>
                </c:pt>
                <c:pt idx="33">
                  <c:v>-7.6497940999999505</c:v>
                </c:pt>
                <c:pt idx="34">
                  <c:v>-16.485476199999951</c:v>
                </c:pt>
                <c:pt idx="35">
                  <c:v>9.0878261000000187</c:v>
                </c:pt>
                <c:pt idx="36">
                  <c:v>7</c:v>
                </c:pt>
                <c:pt idx="37">
                  <c:v>37</c:v>
                </c:pt>
                <c:pt idx="38">
                  <c:v>29</c:v>
                </c:pt>
              </c:numCache>
            </c:numRef>
          </c:val>
          <c:smooth val="1"/>
        </c:ser>
        <c:marker val="1"/>
        <c:axId val="131906560"/>
        <c:axId val="131924736"/>
      </c:lineChart>
      <c:dateAx>
        <c:axId val="131906560"/>
        <c:scaling>
          <c:orientation val="minMax"/>
        </c:scaling>
        <c:axPos val="b"/>
        <c:numFmt formatCode="mmm\-yy" sourceLinked="0"/>
        <c:tickLblPos val="low"/>
        <c:txPr>
          <a:bodyPr rot="-5400000" vert="horz"/>
          <a:lstStyle/>
          <a:p>
            <a:pPr>
              <a:defRPr lang="en-IN" sz="1000" b="0" i="0" u="none" strike="noStrike" baseline="0">
                <a:solidFill>
                  <a:srgbClr val="000000"/>
                </a:solidFill>
                <a:latin typeface="Calibri"/>
                <a:ea typeface="Calibri"/>
                <a:cs typeface="Calibri"/>
              </a:defRPr>
            </a:pPr>
            <a:endParaRPr lang="en-US"/>
          </a:p>
        </c:txPr>
        <c:crossAx val="131924736"/>
        <c:crosses val="autoZero"/>
        <c:auto val="1"/>
        <c:lblOffset val="100"/>
        <c:baseTimeUnit val="months"/>
      </c:dateAx>
      <c:valAx>
        <c:axId val="131924736"/>
        <c:scaling>
          <c:orientation val="minMax"/>
        </c:scaling>
        <c:axPos val="l"/>
        <c:title>
          <c:tx>
            <c:rich>
              <a:bodyPr/>
              <a:lstStyle/>
              <a:p>
                <a:pPr>
                  <a:defRPr lang="en-IN" sz="1050" b="1" i="0" u="none" strike="noStrike" baseline="0">
                    <a:solidFill>
                      <a:srgbClr val="000000"/>
                    </a:solidFill>
                    <a:latin typeface="Calibri"/>
                    <a:ea typeface="Calibri"/>
                    <a:cs typeface="Calibri"/>
                  </a:defRPr>
                </a:pPr>
                <a:r>
                  <a:rPr lang="en-US"/>
                  <a:t>US $/MT</a:t>
                </a:r>
              </a:p>
            </c:rich>
          </c:tx>
        </c:title>
        <c:numFmt formatCode="0.00" sourceLinked="1"/>
        <c:tickLblPos val="nextTo"/>
        <c:txPr>
          <a:bodyPr rot="0" vert="horz"/>
          <a:lstStyle/>
          <a:p>
            <a:pPr>
              <a:defRPr lang="en-IN" sz="1000" b="0" i="0" u="none" strike="noStrike" baseline="0">
                <a:solidFill>
                  <a:srgbClr val="000000"/>
                </a:solidFill>
                <a:latin typeface="Calibri"/>
                <a:ea typeface="Calibri"/>
                <a:cs typeface="Calibri"/>
              </a:defRPr>
            </a:pPr>
            <a:endParaRPr lang="en-US"/>
          </a:p>
        </c:txPr>
        <c:crossAx val="131906560"/>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lang="en-IN" sz="1400" b="1" i="0" u="none" strike="noStrike" baseline="0">
                <a:solidFill>
                  <a:srgbClr val="000000"/>
                </a:solidFill>
                <a:latin typeface="Calibri"/>
                <a:ea typeface="Calibri"/>
                <a:cs typeface="Calibri"/>
              </a:defRPr>
            </a:pPr>
            <a:r>
              <a:rPr lang="en-US"/>
              <a:t>Proj. Rapeseed Meal Exports in Jun</a:t>
            </a:r>
          </a:p>
        </c:rich>
      </c:tx>
      <c:layout>
        <c:manualLayout>
          <c:xMode val="edge"/>
          <c:yMode val="edge"/>
          <c:x val="0.17438188976377952"/>
          <c:y val="2.7303754266211604E-2"/>
        </c:manualLayout>
      </c:layout>
    </c:title>
    <c:plotArea>
      <c:layout>
        <c:manualLayout>
          <c:layoutTarget val="inner"/>
          <c:xMode val="edge"/>
          <c:yMode val="edge"/>
          <c:x val="0.16007174103237096"/>
          <c:y val="0.1369853000456854"/>
          <c:w val="0.81215048118985134"/>
          <c:h val="0.61926598765597984"/>
        </c:manualLayout>
      </c:layout>
      <c:barChart>
        <c:barDir val="col"/>
        <c:grouping val="clustered"/>
        <c:ser>
          <c:idx val="0"/>
          <c:order val="0"/>
          <c:tx>
            <c:strRef>
              <c:f>Sheet4!$C$1</c:f>
              <c:strCache>
                <c:ptCount val="1"/>
                <c:pt idx="0">
                  <c:v>Rapeseed Meal Exports to China in March</c:v>
                </c:pt>
              </c:strCache>
            </c:strRef>
          </c:tx>
          <c:dPt>
            <c:idx val="5"/>
            <c:spPr>
              <a:solidFill>
                <a:srgbClr val="92D050"/>
              </a:solidFill>
            </c:spPr>
          </c:dPt>
          <c:dLbls>
            <c:dLbl>
              <c:idx val="0"/>
              <c:delete val="1"/>
            </c:dLbl>
            <c:dLbl>
              <c:idx val="1"/>
              <c:delete val="1"/>
            </c:dLbl>
            <c:dLbl>
              <c:idx val="2"/>
              <c:delete val="1"/>
            </c:dLbl>
            <c:dLbl>
              <c:idx val="3"/>
              <c:delete val="1"/>
            </c:dLbl>
            <c:dLbl>
              <c:idx val="4"/>
              <c:delete val="1"/>
            </c:dLbl>
            <c:dLbl>
              <c:idx val="5"/>
              <c:tx>
                <c:rich>
                  <a:bodyPr/>
                  <a:lstStyle/>
                  <a:p>
                    <a:r>
                      <a:rPr lang="en-US" sz="1000" b="1" i="0" strike="noStrike">
                        <a:solidFill>
                          <a:srgbClr val="000000"/>
                        </a:solidFill>
                        <a:latin typeface="Calibri"/>
                      </a:rPr>
                      <a:t>54634 </a:t>
                    </a:r>
                    <a:r>
                      <a:rPr lang="en-US" sz="1000" b="1" i="0" strike="noStrike">
                        <a:solidFill>
                          <a:srgbClr val="0000FF"/>
                        </a:solidFill>
                        <a:latin typeface="Calibri"/>
                      </a:rPr>
                      <a:t>Proj.</a:t>
                    </a:r>
                  </a:p>
                </c:rich>
              </c:tx>
            </c:dLbl>
            <c:txPr>
              <a:bodyPr/>
              <a:lstStyle/>
              <a:p>
                <a:pPr>
                  <a:defRPr lang="en-IN" sz="1000" b="0" i="0" u="none" strike="noStrike" baseline="0">
                    <a:solidFill>
                      <a:srgbClr val="000000"/>
                    </a:solidFill>
                    <a:latin typeface="Calibri"/>
                    <a:ea typeface="Calibri"/>
                    <a:cs typeface="Calibri"/>
                  </a:defRPr>
                </a:pPr>
                <a:endParaRPr lang="en-US"/>
              </a:p>
            </c:txPr>
            <c:showVal val="1"/>
          </c:dLbls>
          <c:cat>
            <c:strRef>
              <c:f>Sheet4!$B$2:$B$7</c:f>
              <c:strCache>
                <c:ptCount val="6"/>
                <c:pt idx="0">
                  <c:v>2006-07</c:v>
                </c:pt>
                <c:pt idx="1">
                  <c:v>2007-08</c:v>
                </c:pt>
                <c:pt idx="2">
                  <c:v>2008-09</c:v>
                </c:pt>
                <c:pt idx="3">
                  <c:v>2009-10</c:v>
                </c:pt>
                <c:pt idx="4">
                  <c:v>2010-2011</c:v>
                </c:pt>
                <c:pt idx="5">
                  <c:v>2011-12</c:v>
                </c:pt>
              </c:strCache>
            </c:strRef>
          </c:cat>
          <c:val>
            <c:numRef>
              <c:f>Sheet4!$C$2:$C$7</c:f>
              <c:numCache>
                <c:formatCode>General</c:formatCode>
                <c:ptCount val="6"/>
                <c:pt idx="0">
                  <c:v>79900</c:v>
                </c:pt>
                <c:pt idx="1">
                  <c:v>51825</c:v>
                </c:pt>
                <c:pt idx="2" formatCode="#,##0">
                  <c:v>19245</c:v>
                </c:pt>
                <c:pt idx="3">
                  <c:v>58805</c:v>
                </c:pt>
                <c:pt idx="4">
                  <c:v>45152</c:v>
                </c:pt>
                <c:pt idx="5">
                  <c:v>54634</c:v>
                </c:pt>
              </c:numCache>
            </c:numRef>
          </c:val>
        </c:ser>
        <c:dLbls>
          <c:showVal val="1"/>
        </c:dLbls>
        <c:gapWidth val="75"/>
        <c:axId val="126894080"/>
        <c:axId val="126895616"/>
      </c:barChart>
      <c:catAx>
        <c:axId val="126894080"/>
        <c:scaling>
          <c:orientation val="minMax"/>
        </c:scaling>
        <c:axPos val="b"/>
        <c:numFmt formatCode="General" sourceLinked="1"/>
        <c:majorTickMark val="none"/>
        <c:tickLblPos val="nextTo"/>
        <c:txPr>
          <a:bodyPr rot="0" vert="horz"/>
          <a:lstStyle/>
          <a:p>
            <a:pPr>
              <a:defRPr lang="en-IN" sz="1000" b="0" i="0" u="none" strike="noStrike" baseline="0">
                <a:solidFill>
                  <a:srgbClr val="000000"/>
                </a:solidFill>
                <a:latin typeface="Calibri"/>
                <a:ea typeface="Calibri"/>
                <a:cs typeface="Calibri"/>
              </a:defRPr>
            </a:pPr>
            <a:endParaRPr lang="en-US"/>
          </a:p>
        </c:txPr>
        <c:crossAx val="126895616"/>
        <c:crosses val="autoZero"/>
        <c:auto val="1"/>
        <c:lblAlgn val="ctr"/>
        <c:lblOffset val="100"/>
      </c:catAx>
      <c:valAx>
        <c:axId val="126895616"/>
        <c:scaling>
          <c:orientation val="minMax"/>
        </c:scaling>
        <c:axPos val="l"/>
        <c:title>
          <c:tx>
            <c:rich>
              <a:bodyPr/>
              <a:lstStyle/>
              <a:p>
                <a:pPr>
                  <a:defRPr lang="en-IN" sz="1100" b="1" i="0" u="none" strike="noStrike" baseline="0">
                    <a:solidFill>
                      <a:srgbClr val="000000"/>
                    </a:solidFill>
                    <a:latin typeface="Calibri"/>
                    <a:ea typeface="Calibri"/>
                    <a:cs typeface="Calibri"/>
                  </a:defRPr>
                </a:pPr>
                <a:r>
                  <a:rPr lang="en-US"/>
                  <a:t>Jun Rapeseed Meal Exports (MT)</a:t>
                </a:r>
              </a:p>
            </c:rich>
          </c:tx>
        </c:title>
        <c:numFmt formatCode="General" sourceLinked="1"/>
        <c:majorTickMark val="none"/>
        <c:tickLblPos val="nextTo"/>
        <c:txPr>
          <a:bodyPr rot="0" vert="horz"/>
          <a:lstStyle/>
          <a:p>
            <a:pPr>
              <a:defRPr lang="en-IN" sz="1000" b="0" i="0" u="none" strike="noStrike" baseline="0">
                <a:solidFill>
                  <a:srgbClr val="000000"/>
                </a:solidFill>
                <a:latin typeface="Calibri"/>
                <a:ea typeface="Calibri"/>
                <a:cs typeface="Calibri"/>
              </a:defRPr>
            </a:pPr>
            <a:endParaRPr lang="en-US"/>
          </a:p>
        </c:txPr>
        <c:crossAx val="126894080"/>
        <c:crosses val="autoZero"/>
        <c:crossBetween val="between"/>
      </c:valAx>
    </c:plotArea>
    <c:legend>
      <c:legendPos val="b"/>
      <c:txPr>
        <a:bodyPr/>
        <a:lstStyle/>
        <a:p>
          <a:pPr>
            <a:defRPr lang="en-IN" sz="775"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3B83-8198-4759-811A-577B62C3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 l</cp:lastModifiedBy>
  <cp:revision>9</cp:revision>
  <cp:lastPrinted>2011-05-23T08:33:00Z</cp:lastPrinted>
  <dcterms:created xsi:type="dcterms:W3CDTF">2011-05-23T08:30:00Z</dcterms:created>
  <dcterms:modified xsi:type="dcterms:W3CDTF">2011-05-23T08:34:00Z</dcterms:modified>
</cp:coreProperties>
</file>